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宋体"/>
          <w:sz w:val="32"/>
          <w:szCs w:val="32"/>
        </w:rPr>
      </w:pPr>
      <w:r>
        <w:rPr>
          <w:rFonts w:hint="eastAsia" w:ascii="黑体" w:hAnsi="黑体" w:eastAsia="黑体" w:cs="宋体"/>
          <w:sz w:val="32"/>
          <w:szCs w:val="32"/>
        </w:rPr>
        <w:t>附件1</w:t>
      </w:r>
    </w:p>
    <w:p/>
    <w:p>
      <w:pPr>
        <w:jc w:val="center"/>
        <w:rPr>
          <w:rFonts w:ascii="方正小标宋简体" w:hAnsi="方正小标宋简体" w:eastAsia="方正小标宋简体" w:cs="宋体"/>
          <w:sz w:val="72"/>
          <w:szCs w:val="44"/>
        </w:rPr>
      </w:pPr>
    </w:p>
    <w:p/>
    <w:p/>
    <w:p/>
    <w:p/>
    <w:p/>
    <w:p>
      <w:pPr>
        <w:jc w:val="center"/>
        <w:rPr>
          <w:rFonts w:ascii="黑体" w:hAnsi="黑体" w:eastAsia="黑体" w:cs="宋体"/>
          <w:sz w:val="72"/>
          <w:szCs w:val="44"/>
        </w:rPr>
      </w:pPr>
      <w:r>
        <w:rPr>
          <w:rFonts w:hint="eastAsia" w:ascii="黑体" w:hAnsi="黑体" w:eastAsia="黑体" w:cs="宋体"/>
          <w:sz w:val="72"/>
          <w:szCs w:val="44"/>
        </w:rPr>
        <w:t>政府采购项目</w:t>
      </w:r>
    </w:p>
    <w:p>
      <w:pPr>
        <w:jc w:val="center"/>
        <w:rPr>
          <w:rFonts w:hint="eastAsia" w:ascii="黑体" w:hAnsi="黑体" w:eastAsia="黑体" w:cs="宋体"/>
          <w:sz w:val="72"/>
          <w:szCs w:val="44"/>
          <w:lang w:eastAsia="zh-CN"/>
        </w:rPr>
      </w:pPr>
      <w:r>
        <w:rPr>
          <w:rFonts w:hint="eastAsia" w:ascii="黑体" w:hAnsi="黑体" w:eastAsia="黑体" w:cs="宋体"/>
          <w:sz w:val="72"/>
          <w:szCs w:val="44"/>
        </w:rPr>
        <w:t>采购需求调查</w:t>
      </w:r>
      <w:r>
        <w:rPr>
          <w:rFonts w:hint="eastAsia" w:ascii="黑体" w:hAnsi="黑体" w:eastAsia="黑体" w:cs="宋体"/>
          <w:sz w:val="72"/>
          <w:szCs w:val="44"/>
          <w:lang w:eastAsia="zh-CN"/>
        </w:rPr>
        <w:t>指引文本</w:t>
      </w:r>
    </w:p>
    <w:p/>
    <w:p/>
    <w:p>
      <w:pPr>
        <w:rPr>
          <w:rFonts w:hint="eastAsia" w:ascii="黑体" w:hAnsi="黑体" w:eastAsia="黑体"/>
          <w:sz w:val="32"/>
          <w:szCs w:val="32"/>
          <w:lang w:val="en-US" w:eastAsia="zh-CN"/>
        </w:rPr>
      </w:pPr>
      <w:r>
        <w:rPr>
          <w:rFonts w:ascii="黑体" w:hAnsi="黑体" w:eastAsia="黑体"/>
          <w:sz w:val="32"/>
          <w:szCs w:val="32"/>
        </w:rPr>
        <w:t>项目名称</w:t>
      </w:r>
      <w:r>
        <w:rPr>
          <w:rFonts w:hint="eastAsia" w:ascii="黑体" w:hAnsi="黑体" w:eastAsia="黑体"/>
          <w:sz w:val="32"/>
          <w:szCs w:val="32"/>
        </w:rPr>
        <w:t>：</w:t>
      </w:r>
      <w:r>
        <w:rPr>
          <w:rFonts w:hint="eastAsia" w:ascii="黑体" w:hAnsi="黑体" w:eastAsia="黑体"/>
          <w:sz w:val="32"/>
          <w:szCs w:val="32"/>
          <w:lang w:val="en-US" w:eastAsia="zh-CN"/>
        </w:rPr>
        <w:t>2024-2027年云浮新区绿化景观综合管养项目</w:t>
      </w:r>
    </w:p>
    <w:p>
      <w:pPr>
        <w:rPr>
          <w:rFonts w:hint="eastAsia" w:ascii="黑体" w:hAnsi="黑体" w:eastAsia="黑体"/>
          <w:sz w:val="32"/>
          <w:szCs w:val="32"/>
        </w:rPr>
      </w:pPr>
      <w:r>
        <w:rPr>
          <w:rFonts w:hint="eastAsia" w:ascii="黑体" w:hAnsi="黑体" w:eastAsia="黑体"/>
          <w:sz w:val="32"/>
          <w:szCs w:val="32"/>
        </w:rPr>
        <w:t>采购单位：</w:t>
      </w:r>
      <w:r>
        <w:rPr>
          <w:rFonts w:hint="eastAsia" w:ascii="黑体" w:hAnsi="黑体" w:eastAsia="黑体"/>
          <w:sz w:val="32"/>
          <w:szCs w:val="32"/>
          <w:lang w:val="en-US" w:eastAsia="zh-CN"/>
        </w:rPr>
        <w:t>云浮新区综合服务中心（云浮新区政府投资建设项目代建服务中心）</w:t>
      </w:r>
    </w:p>
    <w:p>
      <w:pPr>
        <w:rPr>
          <w:rFonts w:ascii="方正小标宋简体" w:hAnsi="方正小标宋简体" w:eastAsia="方正小标宋简体"/>
          <w:sz w:val="44"/>
          <w:szCs w:val="44"/>
        </w:rPr>
      </w:pPr>
    </w:p>
    <w:p>
      <w:pPr>
        <w:rPr>
          <w:rFonts w:ascii="方正小标宋简体" w:hAnsi="方正小标宋简体" w:eastAsia="方正小标宋简体"/>
          <w:sz w:val="44"/>
          <w:szCs w:val="44"/>
        </w:rPr>
      </w:pPr>
    </w:p>
    <w:p>
      <w:pPr>
        <w:ind w:firstLine="640" w:firstLineChars="200"/>
        <w:jc w:val="center"/>
        <w:rPr>
          <w:rFonts w:ascii="黑体" w:hAnsi="黑体" w:eastAsia="黑体"/>
          <w:sz w:val="32"/>
          <w:szCs w:val="32"/>
        </w:rPr>
      </w:pPr>
      <w:r>
        <w:rPr>
          <w:rFonts w:hint="eastAsia" w:ascii="黑体" w:hAnsi="黑体" w:eastAsia="黑体"/>
          <w:sz w:val="32"/>
          <w:szCs w:val="32"/>
        </w:rPr>
        <w:t>二〇二</w:t>
      </w:r>
      <w:r>
        <w:rPr>
          <w:rFonts w:hint="eastAsia" w:ascii="黑体" w:hAnsi="黑体" w:eastAsia="黑体"/>
          <w:sz w:val="32"/>
          <w:szCs w:val="32"/>
          <w:lang w:val="en-US" w:eastAsia="zh-CN"/>
        </w:rPr>
        <w:t>四</w:t>
      </w:r>
      <w:r>
        <w:rPr>
          <w:rFonts w:hint="eastAsia" w:ascii="黑体" w:hAnsi="黑体" w:eastAsia="黑体"/>
          <w:sz w:val="32"/>
          <w:szCs w:val="32"/>
        </w:rPr>
        <w:t>年</w:t>
      </w:r>
      <w:r>
        <w:rPr>
          <w:rFonts w:hint="eastAsia" w:ascii="黑体" w:hAnsi="黑体" w:eastAsia="黑体"/>
          <w:sz w:val="32"/>
          <w:szCs w:val="32"/>
          <w:lang w:val="en-US" w:eastAsia="zh-CN"/>
        </w:rPr>
        <w:t>七</w:t>
      </w:r>
      <w:r>
        <w:rPr>
          <w:rFonts w:hint="eastAsia" w:ascii="黑体" w:hAnsi="黑体" w:eastAsia="黑体"/>
          <w:sz w:val="32"/>
          <w:szCs w:val="32"/>
        </w:rPr>
        <w:t>月</w:t>
      </w:r>
    </w:p>
    <w:p>
      <w:pPr>
        <w:jc w:val="center"/>
        <w:rPr>
          <w:rFonts w:hint="eastAsia" w:ascii="黑体" w:hAnsi="黑体" w:eastAsia="黑体"/>
          <w:sz w:val="44"/>
          <w:szCs w:val="44"/>
        </w:rPr>
      </w:pPr>
    </w:p>
    <w:p>
      <w:pPr>
        <w:keepNext w:val="0"/>
        <w:keepLines w:val="0"/>
        <w:widowControl/>
        <w:suppressLineNumbers w:val="0"/>
        <w:jc w:val="center"/>
      </w:pPr>
      <w:r>
        <w:rPr>
          <w:rFonts w:ascii="黑体" w:hAnsi="宋体" w:eastAsia="黑体" w:cs="黑体"/>
          <w:color w:val="000000"/>
          <w:kern w:val="0"/>
          <w:sz w:val="31"/>
          <w:szCs w:val="31"/>
          <w:lang w:val="en-US" w:eastAsia="zh-CN" w:bidi="ar"/>
        </w:rPr>
        <w:t>目</w:t>
      </w:r>
      <w:r>
        <w:rPr>
          <w:rFonts w:hint="eastAsia" w:ascii="黑体" w:hAnsi="宋体" w:eastAsia="黑体" w:cs="黑体"/>
          <w:color w:val="000000"/>
          <w:kern w:val="0"/>
          <w:sz w:val="31"/>
          <w:szCs w:val="31"/>
          <w:lang w:val="en-US" w:eastAsia="zh-CN" w:bidi="ar"/>
        </w:rPr>
        <w:t xml:space="preserve">  </w:t>
      </w:r>
      <w:r>
        <w:rPr>
          <w:rFonts w:ascii="黑体" w:hAnsi="宋体" w:eastAsia="黑体" w:cs="黑体"/>
          <w:color w:val="000000"/>
          <w:kern w:val="0"/>
          <w:sz w:val="31"/>
          <w:szCs w:val="31"/>
          <w:lang w:val="en-US" w:eastAsia="zh-CN" w:bidi="ar"/>
        </w:rPr>
        <w:t>录</w:t>
      </w:r>
    </w:p>
    <w:p>
      <w:pPr>
        <w:keepNext w:val="0"/>
        <w:keepLines w:val="0"/>
        <w:widowControl/>
        <w:suppressLineNumbers w:val="0"/>
        <w:spacing w:line="480" w:lineRule="auto"/>
        <w:jc w:val="left"/>
        <w:rPr>
          <w:b/>
          <w:bCs/>
        </w:rPr>
      </w:pPr>
      <w:r>
        <w:rPr>
          <w:rFonts w:ascii="黑体" w:hAnsi="宋体" w:eastAsia="黑体" w:cs="黑体"/>
          <w:b/>
          <w:bCs/>
          <w:color w:val="000000"/>
          <w:kern w:val="0"/>
          <w:sz w:val="31"/>
          <w:szCs w:val="31"/>
          <w:lang w:val="en-US" w:eastAsia="zh-CN" w:bidi="ar"/>
        </w:rPr>
        <w:t xml:space="preserve">一、采购需求调查问卷 .............................. 1 </w:t>
      </w:r>
    </w:p>
    <w:p>
      <w:pPr>
        <w:keepNext w:val="0"/>
        <w:keepLines w:val="0"/>
        <w:widowControl/>
        <w:suppressLineNumbers w:val="0"/>
        <w:spacing w:line="480" w:lineRule="auto"/>
        <w:jc w:val="left"/>
        <w:rPr>
          <w:b/>
          <w:bCs/>
        </w:rPr>
      </w:pPr>
      <w:r>
        <w:rPr>
          <w:rFonts w:ascii="黑体" w:hAnsi="宋体" w:eastAsia="黑体" w:cs="黑体"/>
          <w:b/>
          <w:bCs/>
          <w:color w:val="000000"/>
          <w:kern w:val="0"/>
          <w:sz w:val="31"/>
          <w:szCs w:val="31"/>
          <w:lang w:val="en-US" w:eastAsia="zh-CN" w:bidi="ar"/>
        </w:rPr>
        <w:t>二、采购需求编制（调研版） ........................ 5</w:t>
      </w:r>
    </w:p>
    <w:p>
      <w:pPr>
        <w:rPr>
          <w:rFonts w:ascii="仿宋" w:hAnsi="仿宋" w:eastAsia="仿宋" w:cs="Times New Roman"/>
          <w:bCs/>
          <w:color w:val="000000" w:themeColor="text1"/>
          <w:kern w:val="0"/>
          <w:sz w:val="32"/>
          <w:szCs w:val="32"/>
          <w14:textFill>
            <w14:solidFill>
              <w14:schemeClr w14:val="tx1"/>
            </w14:solidFill>
          </w14:textFill>
        </w:rPr>
      </w:pPr>
      <w:r>
        <w:rPr>
          <w:rFonts w:ascii="仿宋" w:hAnsi="仿宋" w:eastAsia="仿宋" w:cs="Times New Roman"/>
          <w:bCs/>
          <w:color w:val="000000" w:themeColor="text1"/>
          <w:kern w:val="0"/>
          <w:sz w:val="32"/>
          <w:szCs w:val="32"/>
          <w14:textFill>
            <w14:solidFill>
              <w14:schemeClr w14:val="tx1"/>
            </w14:solidFill>
          </w14:textFill>
        </w:rPr>
        <w:br w:type="page"/>
      </w:r>
    </w:p>
    <w:p>
      <w:pPr>
        <w:pStyle w:val="20"/>
        <w:widowControl/>
        <w:numPr>
          <w:ilvl w:val="0"/>
          <w:numId w:val="1"/>
        </w:numPr>
        <w:spacing w:line="360" w:lineRule="auto"/>
        <w:ind w:firstLineChars="0"/>
        <w:jc w:val="left"/>
        <w:rPr>
          <w:rFonts w:ascii="仿宋" w:hAnsi="仿宋" w:eastAsia="仿宋" w:cs="Helvetica Neue"/>
          <w:b/>
          <w:color w:val="000000" w:themeColor="text1"/>
          <w:kern w:val="0"/>
          <w:sz w:val="32"/>
          <w:szCs w:val="32"/>
          <w14:textFill>
            <w14:solidFill>
              <w14:schemeClr w14:val="tx1"/>
            </w14:solidFill>
          </w14:textFill>
        </w:rPr>
        <w:sectPr>
          <w:headerReference r:id="rId3" w:type="default"/>
          <w:footerReference r:id="rId4" w:type="default"/>
          <w:pgSz w:w="11900" w:h="16840"/>
          <w:pgMar w:top="1440" w:right="1080" w:bottom="1440" w:left="1080" w:header="851" w:footer="992" w:gutter="0"/>
          <w:cols w:space="425" w:num="1"/>
          <w:docGrid w:type="lines" w:linePitch="312" w:charSpace="0"/>
        </w:sectPr>
      </w:pPr>
    </w:p>
    <w:p>
      <w:pPr>
        <w:keepNext w:val="0"/>
        <w:keepLines w:val="0"/>
        <w:widowControl/>
        <w:suppressLineNumbers w:val="0"/>
        <w:jc w:val="center"/>
        <w:rPr>
          <w:rFonts w:hint="eastAsia" w:ascii="宋体" w:hAnsi="宋体" w:eastAsia="宋体" w:cs="宋体"/>
          <w:b/>
          <w:bCs/>
        </w:rPr>
      </w:pPr>
      <w:r>
        <w:rPr>
          <w:rFonts w:hint="eastAsia" w:ascii="宋体" w:hAnsi="宋体" w:eastAsia="宋体" w:cs="宋体"/>
          <w:b/>
          <w:bCs/>
          <w:color w:val="000000"/>
          <w:kern w:val="0"/>
          <w:sz w:val="43"/>
          <w:szCs w:val="43"/>
          <w:lang w:val="en-US" w:eastAsia="zh-CN" w:bidi="ar"/>
        </w:rPr>
        <w:t>采购需求调查问卷</w:t>
      </w:r>
    </w:p>
    <w:p>
      <w:pPr>
        <w:keepNext w:val="0"/>
        <w:keepLines w:val="0"/>
        <w:widowControl/>
        <w:suppressLineNumbers w:val="0"/>
        <w:jc w:val="center"/>
        <w:rPr>
          <w:rFonts w:hint="eastAsia" w:ascii="宋体" w:hAnsi="宋体" w:eastAsia="宋体" w:cs="宋体"/>
          <w:b/>
          <w:bCs/>
        </w:rPr>
      </w:pPr>
      <w:r>
        <w:rPr>
          <w:rFonts w:hint="eastAsia" w:ascii="宋体" w:hAnsi="宋体" w:eastAsia="宋体" w:cs="宋体"/>
          <w:b/>
          <w:bCs/>
          <w:i/>
          <w:iCs/>
          <w:color w:val="000000"/>
          <w:kern w:val="0"/>
          <w:sz w:val="24"/>
          <w:szCs w:val="24"/>
          <w:lang w:val="en-US" w:eastAsia="zh-CN" w:bidi="ar"/>
        </w:rPr>
        <w:t>（格式自拟）</w:t>
      </w:r>
    </w:p>
    <w:p>
      <w:pPr>
        <w:pStyle w:val="20"/>
        <w:widowControl/>
        <w:numPr>
          <w:ilvl w:val="0"/>
          <w:numId w:val="0"/>
        </w:numPr>
        <w:spacing w:line="360" w:lineRule="auto"/>
        <w:ind w:left="720" w:leftChars="0" w:hanging="720" w:firstLineChars="0"/>
        <w:rPr>
          <w:rFonts w:hint="default" w:ascii="黑体" w:hAnsi="黑体" w:eastAsia="黑体" w:cs="Helvetica Neue"/>
          <w:b/>
          <w:bCs/>
          <w:color w:val="000000" w:themeColor="text1"/>
          <w:kern w:val="0"/>
          <w:sz w:val="32"/>
          <w:szCs w:val="32"/>
          <w:lang w:val="en-US" w:eastAsia="zh-CN" w:bidi="ar-SA"/>
          <w14:textFill>
            <w14:solidFill>
              <w14:schemeClr w14:val="tx1"/>
            </w14:solidFill>
          </w14:textFill>
        </w:rPr>
      </w:pPr>
      <w:r>
        <w:rPr>
          <w:rFonts w:hint="eastAsia" w:ascii="黑体" w:hAnsi="黑体" w:cs="Helvetica Neue"/>
          <w:b/>
          <w:bCs/>
          <w:color w:val="000000" w:themeColor="text1"/>
          <w:kern w:val="0"/>
          <w:sz w:val="32"/>
          <w:szCs w:val="32"/>
          <w:lang w:val="en-US" w:eastAsia="zh-CN" w:bidi="ar-SA"/>
          <w14:textFill>
            <w14:solidFill>
              <w14:schemeClr w14:val="tx1"/>
            </w14:solidFill>
          </w14:textFill>
        </w:rPr>
        <w:t>一、项目简介</w:t>
      </w:r>
    </w:p>
    <w:tbl>
      <w:tblPr>
        <w:tblStyle w:val="11"/>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2"/>
        <w:gridCol w:w="6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2" w:type="dxa"/>
            <w:vAlign w:val="center"/>
          </w:tcPr>
          <w:p>
            <w:pPr>
              <w:pStyle w:val="20"/>
              <w:widowControl/>
              <w:numPr>
                <w:ilvl w:val="0"/>
                <w:numId w:val="0"/>
              </w:numPr>
              <w:spacing w:line="360" w:lineRule="auto"/>
              <w:jc w:val="center"/>
              <w:rPr>
                <w:rFonts w:hint="default" w:ascii="黑体" w:hAnsi="黑体" w:eastAsia="黑体" w:cs="Helvetica Neue"/>
                <w:b/>
                <w:bCs/>
                <w:color w:val="000000" w:themeColor="text1"/>
                <w:kern w:val="0"/>
                <w:sz w:val="28"/>
                <w:szCs w:val="28"/>
                <w:vertAlign w:val="baseline"/>
                <w:lang w:val="en-US" w:eastAsia="zh-CN" w:bidi="ar-SA"/>
                <w14:textFill>
                  <w14:solidFill>
                    <w14:schemeClr w14:val="tx1"/>
                  </w14:solidFill>
                </w14:textFill>
              </w:rPr>
            </w:pPr>
            <w:r>
              <w:rPr>
                <w:rFonts w:hint="eastAsia" w:ascii="黑体" w:hAnsi="黑体" w:cs="Helvetica Neue"/>
                <w:b/>
                <w:bCs/>
                <w:color w:val="000000" w:themeColor="text1"/>
                <w:kern w:val="0"/>
                <w:sz w:val="28"/>
                <w:szCs w:val="28"/>
                <w:vertAlign w:val="baseline"/>
                <w:lang w:val="en-US" w:eastAsia="zh-CN" w:bidi="ar-SA"/>
                <w14:textFill>
                  <w14:solidFill>
                    <w14:schemeClr w14:val="tx1"/>
                  </w14:solidFill>
                </w14:textFill>
              </w:rPr>
              <w:t>采购项目名称</w:t>
            </w:r>
          </w:p>
        </w:tc>
        <w:tc>
          <w:tcPr>
            <w:tcW w:w="6838" w:type="dxa"/>
            <w:vAlign w:val="center"/>
          </w:tcPr>
          <w:p>
            <w:pPr>
              <w:pStyle w:val="20"/>
              <w:widowControl/>
              <w:numPr>
                <w:ilvl w:val="0"/>
                <w:numId w:val="0"/>
              </w:numPr>
              <w:spacing w:line="360" w:lineRule="auto"/>
              <w:jc w:val="center"/>
              <w:rPr>
                <w:rFonts w:hint="default" w:ascii="黑体" w:hAnsi="黑体"/>
                <w:sz w:val="28"/>
                <w:szCs w:val="28"/>
                <w:lang w:val="en-US" w:eastAsia="zh-CN"/>
              </w:rPr>
            </w:pPr>
            <w:r>
              <w:rPr>
                <w:rFonts w:hint="eastAsia" w:ascii="黑体" w:hAnsi="黑体"/>
                <w:sz w:val="28"/>
                <w:szCs w:val="28"/>
                <w:lang w:val="en-US" w:eastAsia="zh-CN"/>
              </w:rPr>
              <w:t>2024-2027年云浮新区绿化景观综合管养项目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2" w:type="dxa"/>
            <w:vAlign w:val="center"/>
          </w:tcPr>
          <w:p>
            <w:pPr>
              <w:pStyle w:val="20"/>
              <w:widowControl/>
              <w:numPr>
                <w:ilvl w:val="0"/>
                <w:numId w:val="0"/>
              </w:numPr>
              <w:spacing w:line="360" w:lineRule="auto"/>
              <w:jc w:val="center"/>
              <w:rPr>
                <w:rFonts w:hint="default" w:ascii="黑体" w:hAnsi="黑体" w:cs="Helvetica Neue"/>
                <w:b/>
                <w:bCs/>
                <w:color w:val="000000" w:themeColor="text1"/>
                <w:kern w:val="0"/>
                <w:sz w:val="28"/>
                <w:szCs w:val="28"/>
                <w:vertAlign w:val="baseline"/>
                <w:lang w:val="en-US" w:eastAsia="zh-CN" w:bidi="ar-SA"/>
                <w14:textFill>
                  <w14:solidFill>
                    <w14:schemeClr w14:val="tx1"/>
                  </w14:solidFill>
                </w14:textFill>
              </w:rPr>
            </w:pPr>
            <w:r>
              <w:rPr>
                <w:rFonts w:hint="eastAsia" w:ascii="黑体" w:hAnsi="黑体" w:cs="Helvetica Neue"/>
                <w:b/>
                <w:bCs/>
                <w:color w:val="000000" w:themeColor="text1"/>
                <w:kern w:val="0"/>
                <w:sz w:val="28"/>
                <w:szCs w:val="28"/>
                <w:vertAlign w:val="baseline"/>
                <w:lang w:val="en-US" w:eastAsia="zh-CN" w:bidi="ar-SA"/>
                <w14:textFill>
                  <w14:solidFill>
                    <w14:schemeClr w14:val="tx1"/>
                  </w14:solidFill>
                </w14:textFill>
              </w:rPr>
              <w:t>采购项目预算</w:t>
            </w:r>
          </w:p>
        </w:tc>
        <w:tc>
          <w:tcPr>
            <w:tcW w:w="6838" w:type="dxa"/>
          </w:tcPr>
          <w:p>
            <w:pPr>
              <w:pStyle w:val="20"/>
              <w:widowControl/>
              <w:numPr>
                <w:ilvl w:val="0"/>
                <w:numId w:val="0"/>
              </w:numPr>
              <w:spacing w:line="360" w:lineRule="auto"/>
              <w:rPr>
                <w:rFonts w:hint="default" w:ascii="黑体" w:hAnsi="黑体" w:eastAsia="黑体" w:cs="Helvetica Neue"/>
                <w:b/>
                <w:bCs/>
                <w:color w:val="000000" w:themeColor="text1"/>
                <w:kern w:val="0"/>
                <w:sz w:val="32"/>
                <w:szCs w:val="32"/>
                <w:vertAlign w:val="baseline"/>
                <w:lang w:val="en-US" w:eastAsia="zh-CN" w:bidi="ar-SA"/>
                <w14:textFill>
                  <w14:solidFill>
                    <w14:schemeClr w14:val="tx1"/>
                  </w14:solidFill>
                </w14:textFill>
              </w:rPr>
            </w:pPr>
            <w:r>
              <w:rPr>
                <w:rFonts w:hint="eastAsia" w:ascii="黑体" w:hAnsi="黑体" w:eastAsia="黑体"/>
                <w:sz w:val="28"/>
                <w:szCs w:val="28"/>
                <w:lang w:val="en-US" w:eastAsia="zh-CN"/>
              </w:rPr>
              <w:t>¥15762805.66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2" w:type="dxa"/>
            <w:vAlign w:val="center"/>
          </w:tcPr>
          <w:p>
            <w:pPr>
              <w:pStyle w:val="20"/>
              <w:widowControl/>
              <w:numPr>
                <w:ilvl w:val="0"/>
                <w:numId w:val="0"/>
              </w:numPr>
              <w:spacing w:line="360" w:lineRule="auto"/>
              <w:jc w:val="center"/>
              <w:rPr>
                <w:rFonts w:hint="default" w:ascii="黑体" w:hAnsi="黑体" w:cs="Helvetica Neue"/>
                <w:b/>
                <w:bCs/>
                <w:color w:val="000000" w:themeColor="text1"/>
                <w:kern w:val="0"/>
                <w:sz w:val="28"/>
                <w:szCs w:val="28"/>
                <w:vertAlign w:val="baseline"/>
                <w:lang w:val="en-US" w:eastAsia="zh-CN" w:bidi="ar-SA"/>
                <w14:textFill>
                  <w14:solidFill>
                    <w14:schemeClr w14:val="tx1"/>
                  </w14:solidFill>
                </w14:textFill>
              </w:rPr>
            </w:pPr>
            <w:r>
              <w:rPr>
                <w:rFonts w:hint="eastAsia" w:ascii="黑体" w:hAnsi="黑体" w:cs="Helvetica Neue"/>
                <w:b/>
                <w:bCs/>
                <w:color w:val="000000" w:themeColor="text1"/>
                <w:kern w:val="0"/>
                <w:sz w:val="28"/>
                <w:szCs w:val="28"/>
                <w:vertAlign w:val="baseline"/>
                <w:lang w:val="en-US" w:eastAsia="zh-CN" w:bidi="ar-SA"/>
                <w14:textFill>
                  <w14:solidFill>
                    <w14:schemeClr w14:val="tx1"/>
                  </w14:solidFill>
                </w14:textFill>
              </w:rPr>
              <w:t>采购人单位</w:t>
            </w:r>
          </w:p>
        </w:tc>
        <w:tc>
          <w:tcPr>
            <w:tcW w:w="6838" w:type="dxa"/>
          </w:tcPr>
          <w:p>
            <w:pPr>
              <w:pStyle w:val="20"/>
              <w:widowControl/>
              <w:numPr>
                <w:ilvl w:val="0"/>
                <w:numId w:val="0"/>
              </w:numPr>
              <w:spacing w:line="360" w:lineRule="auto"/>
              <w:rPr>
                <w:rFonts w:hint="default" w:ascii="黑体" w:hAnsi="黑体" w:eastAsia="黑体" w:cs="Helvetica Neue"/>
                <w:b/>
                <w:bCs/>
                <w:color w:val="000000" w:themeColor="text1"/>
                <w:kern w:val="0"/>
                <w:sz w:val="32"/>
                <w:szCs w:val="32"/>
                <w:vertAlign w:val="baseline"/>
                <w:lang w:val="en-US" w:eastAsia="zh-CN" w:bidi="ar-SA"/>
                <w14:textFill>
                  <w14:solidFill>
                    <w14:schemeClr w14:val="tx1"/>
                  </w14:solidFill>
                </w14:textFill>
              </w:rPr>
            </w:pPr>
            <w:r>
              <w:rPr>
                <w:rFonts w:hint="eastAsia" w:ascii="黑体" w:hAnsi="黑体" w:eastAsia="黑体"/>
                <w:sz w:val="28"/>
                <w:szCs w:val="28"/>
                <w:lang w:val="en-US" w:eastAsia="zh-CN"/>
              </w:rPr>
              <w:t>云浮新区综合服务中心（云浮新区政府投资建设项目代建服务中心）</w:t>
            </w:r>
          </w:p>
        </w:tc>
      </w:tr>
    </w:tbl>
    <w:p>
      <w:pPr>
        <w:pStyle w:val="20"/>
        <w:widowControl/>
        <w:numPr>
          <w:ilvl w:val="0"/>
          <w:numId w:val="0"/>
        </w:numPr>
        <w:spacing w:line="360" w:lineRule="auto"/>
        <w:ind w:left="720" w:leftChars="0" w:hanging="720" w:firstLineChars="0"/>
        <w:rPr>
          <w:rFonts w:hint="default" w:ascii="黑体" w:hAnsi="黑体" w:eastAsia="黑体" w:cs="Helvetica Neue"/>
          <w:b/>
          <w:bCs/>
          <w:color w:val="000000" w:themeColor="text1"/>
          <w:kern w:val="0"/>
          <w:sz w:val="32"/>
          <w:szCs w:val="32"/>
          <w:lang w:val="en-US" w:eastAsia="zh-CN" w:bidi="ar-SA"/>
          <w14:textFill>
            <w14:solidFill>
              <w14:schemeClr w14:val="tx1"/>
            </w14:solidFill>
          </w14:textFill>
        </w:rPr>
      </w:pPr>
      <w:r>
        <w:rPr>
          <w:rFonts w:hint="eastAsia" w:ascii="黑体" w:hAnsi="黑体" w:cs="Helvetica Neue"/>
          <w:b/>
          <w:bCs/>
          <w:color w:val="000000" w:themeColor="text1"/>
          <w:kern w:val="0"/>
          <w:sz w:val="32"/>
          <w:szCs w:val="32"/>
          <w:lang w:val="en-US" w:eastAsia="zh-CN" w:bidi="ar-SA"/>
          <w14:textFill>
            <w14:solidFill>
              <w14:schemeClr w14:val="tx1"/>
            </w14:solidFill>
          </w14:textFill>
        </w:rPr>
        <w:t>二、市场主体对象基本情况</w:t>
      </w:r>
    </w:p>
    <w:tbl>
      <w:tblPr>
        <w:tblStyle w:val="11"/>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0"/>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0" w:type="dxa"/>
          </w:tcPr>
          <w:p>
            <w:pPr>
              <w:pStyle w:val="20"/>
              <w:widowControl/>
              <w:numPr>
                <w:ilvl w:val="0"/>
                <w:numId w:val="0"/>
              </w:numPr>
              <w:spacing w:line="360" w:lineRule="auto"/>
              <w:jc w:val="center"/>
              <w:rPr>
                <w:rFonts w:hint="default" w:ascii="黑体" w:hAnsi="黑体" w:cs="Helvetica Neue"/>
                <w:b/>
                <w:bCs/>
                <w:color w:val="000000" w:themeColor="text1"/>
                <w:kern w:val="0"/>
                <w:sz w:val="28"/>
                <w:szCs w:val="28"/>
                <w:vertAlign w:val="baseline"/>
                <w:lang w:val="en-US" w:eastAsia="zh-CN" w:bidi="ar-SA"/>
                <w14:textFill>
                  <w14:solidFill>
                    <w14:schemeClr w14:val="tx1"/>
                  </w14:solidFill>
                </w14:textFill>
              </w:rPr>
            </w:pPr>
            <w:r>
              <w:rPr>
                <w:rFonts w:hint="eastAsia" w:ascii="黑体" w:hAnsi="黑体" w:cs="Helvetica Neue"/>
                <w:b/>
                <w:bCs/>
                <w:color w:val="000000" w:themeColor="text1"/>
                <w:kern w:val="0"/>
                <w:sz w:val="28"/>
                <w:szCs w:val="28"/>
                <w:vertAlign w:val="baseline"/>
                <w:lang w:val="en-US" w:eastAsia="zh-CN" w:bidi="ar-SA"/>
                <w14:textFill>
                  <w14:solidFill>
                    <w14:schemeClr w14:val="tx1"/>
                  </w14:solidFill>
                </w14:textFill>
              </w:rPr>
              <w:t>单位名称</w:t>
            </w:r>
          </w:p>
        </w:tc>
        <w:tc>
          <w:tcPr>
            <w:tcW w:w="6300" w:type="dxa"/>
          </w:tcPr>
          <w:p>
            <w:pPr>
              <w:pStyle w:val="20"/>
              <w:widowControl/>
              <w:numPr>
                <w:ilvl w:val="0"/>
                <w:numId w:val="0"/>
              </w:numPr>
              <w:spacing w:line="360" w:lineRule="auto"/>
              <w:jc w:val="center"/>
              <w:rPr>
                <w:rFonts w:hint="default" w:ascii="黑体" w:hAnsi="黑体" w:eastAsia="黑体" w:cs="Helvetica Neue"/>
                <w:b/>
                <w:bCs/>
                <w:color w:val="000000" w:themeColor="text1"/>
                <w:kern w:val="0"/>
                <w:sz w:val="32"/>
                <w:szCs w:val="32"/>
                <w:vertAlign w:val="baseline"/>
                <w:lang w:val="en-US" w:eastAsia="zh-CN" w:bidi="ar-SA"/>
                <w14:textFill>
                  <w14:solidFill>
                    <w14:schemeClr w14:val="tx1"/>
                  </w14:solidFill>
                </w14:textFill>
              </w:rPr>
            </w:pPr>
            <w:r>
              <w:rPr>
                <w:rFonts w:hint="eastAsia" w:ascii="黑体" w:hAnsi="黑体" w:cs="Helvetica Neue"/>
                <w:b w:val="0"/>
                <w:bCs w:val="0"/>
                <w:color w:val="000000" w:themeColor="text1"/>
                <w:kern w:val="0"/>
                <w:sz w:val="28"/>
                <w:szCs w:val="28"/>
                <w:vertAlign w:val="baseline"/>
                <w:lang w:val="en-US" w:eastAsia="zh-CN" w:bidi="ar-SA"/>
                <w14:textFill>
                  <w14:solidFill>
                    <w14:schemeClr w14:val="tx1"/>
                  </w14:solidFill>
                </w14:textFill>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0" w:type="dxa"/>
          </w:tcPr>
          <w:p>
            <w:pPr>
              <w:pStyle w:val="20"/>
              <w:widowControl/>
              <w:numPr>
                <w:ilvl w:val="0"/>
                <w:numId w:val="0"/>
              </w:numPr>
              <w:spacing w:line="360" w:lineRule="auto"/>
              <w:jc w:val="center"/>
              <w:rPr>
                <w:rFonts w:hint="default" w:ascii="黑体" w:hAnsi="黑体" w:cs="Helvetica Neue"/>
                <w:b/>
                <w:bCs/>
                <w:color w:val="000000" w:themeColor="text1"/>
                <w:kern w:val="0"/>
                <w:sz w:val="28"/>
                <w:szCs w:val="28"/>
                <w:vertAlign w:val="baseline"/>
                <w:lang w:val="en-US" w:eastAsia="zh-CN" w:bidi="ar-SA"/>
                <w14:textFill>
                  <w14:solidFill>
                    <w14:schemeClr w14:val="tx1"/>
                  </w14:solidFill>
                </w14:textFill>
              </w:rPr>
            </w:pPr>
            <w:r>
              <w:rPr>
                <w:rFonts w:hint="eastAsia" w:ascii="黑体" w:hAnsi="黑体" w:cs="Helvetica Neue"/>
                <w:b/>
                <w:bCs/>
                <w:color w:val="000000" w:themeColor="text1"/>
                <w:kern w:val="0"/>
                <w:sz w:val="28"/>
                <w:szCs w:val="28"/>
                <w:vertAlign w:val="baseline"/>
                <w:lang w:val="en-US" w:eastAsia="zh-CN" w:bidi="ar-SA"/>
                <w14:textFill>
                  <w14:solidFill>
                    <w14:schemeClr w14:val="tx1"/>
                  </w14:solidFill>
                </w14:textFill>
              </w:rPr>
              <w:t>单位地址</w:t>
            </w:r>
          </w:p>
        </w:tc>
        <w:tc>
          <w:tcPr>
            <w:tcW w:w="6300" w:type="dxa"/>
          </w:tcPr>
          <w:p>
            <w:pPr>
              <w:pStyle w:val="20"/>
              <w:widowControl/>
              <w:numPr>
                <w:ilvl w:val="0"/>
                <w:numId w:val="0"/>
              </w:numPr>
              <w:spacing w:line="360" w:lineRule="auto"/>
              <w:rPr>
                <w:rFonts w:hint="default" w:ascii="黑体" w:hAnsi="黑体" w:eastAsia="黑体" w:cs="Helvetica Neue"/>
                <w:b/>
                <w:bCs/>
                <w:color w:val="000000" w:themeColor="text1"/>
                <w:kern w:val="0"/>
                <w:sz w:val="32"/>
                <w:szCs w:val="32"/>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0" w:type="dxa"/>
          </w:tcPr>
          <w:p>
            <w:pPr>
              <w:pStyle w:val="20"/>
              <w:widowControl/>
              <w:numPr>
                <w:ilvl w:val="0"/>
                <w:numId w:val="0"/>
              </w:numPr>
              <w:spacing w:line="360" w:lineRule="auto"/>
              <w:jc w:val="center"/>
              <w:rPr>
                <w:rFonts w:hint="default" w:ascii="黑体" w:hAnsi="黑体" w:cs="Helvetica Neue"/>
                <w:b/>
                <w:bCs/>
                <w:color w:val="000000" w:themeColor="text1"/>
                <w:kern w:val="0"/>
                <w:sz w:val="28"/>
                <w:szCs w:val="28"/>
                <w:vertAlign w:val="baseline"/>
                <w:lang w:val="en-US" w:eastAsia="zh-CN" w:bidi="ar-SA"/>
                <w14:textFill>
                  <w14:solidFill>
                    <w14:schemeClr w14:val="tx1"/>
                  </w14:solidFill>
                </w14:textFill>
              </w:rPr>
            </w:pPr>
            <w:r>
              <w:rPr>
                <w:rFonts w:hint="eastAsia" w:ascii="黑体" w:hAnsi="黑体" w:cs="Helvetica Neue"/>
                <w:b/>
                <w:bCs/>
                <w:color w:val="000000" w:themeColor="text1"/>
                <w:kern w:val="0"/>
                <w:sz w:val="28"/>
                <w:szCs w:val="28"/>
                <w:vertAlign w:val="baseline"/>
                <w:lang w:val="en-US" w:eastAsia="zh-CN" w:bidi="ar-SA"/>
                <w14:textFill>
                  <w14:solidFill>
                    <w14:schemeClr w14:val="tx1"/>
                  </w14:solidFill>
                </w14:textFill>
              </w:rPr>
              <w:t>联系人及联系方式</w:t>
            </w:r>
          </w:p>
        </w:tc>
        <w:tc>
          <w:tcPr>
            <w:tcW w:w="6300" w:type="dxa"/>
          </w:tcPr>
          <w:p>
            <w:pPr>
              <w:pStyle w:val="20"/>
              <w:widowControl/>
              <w:numPr>
                <w:ilvl w:val="0"/>
                <w:numId w:val="0"/>
              </w:numPr>
              <w:spacing w:line="360" w:lineRule="auto"/>
              <w:rPr>
                <w:rFonts w:hint="default" w:ascii="黑体" w:hAnsi="黑体" w:eastAsia="黑体" w:cs="Helvetica Neue"/>
                <w:b/>
                <w:bCs/>
                <w:color w:val="000000" w:themeColor="text1"/>
                <w:kern w:val="0"/>
                <w:sz w:val="32"/>
                <w:szCs w:val="32"/>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0" w:type="dxa"/>
            <w:gridSpan w:val="2"/>
          </w:tcPr>
          <w:p>
            <w:pPr>
              <w:keepNext w:val="0"/>
              <w:keepLines w:val="0"/>
              <w:widowControl/>
              <w:suppressLineNumbers w:val="0"/>
              <w:jc w:val="left"/>
              <w:rPr>
                <w:rFonts w:hint="default" w:ascii="黑体" w:hAnsi="黑体" w:eastAsia="黑体" w:cs="Helvetica Neue"/>
                <w:b/>
                <w:bCs/>
                <w:color w:val="000000" w:themeColor="text1"/>
                <w:kern w:val="0"/>
                <w:sz w:val="32"/>
                <w:szCs w:val="32"/>
                <w:vertAlign w:val="baseline"/>
                <w:lang w:val="en-US" w:eastAsia="zh-CN" w:bidi="ar-SA"/>
                <w14:textFill>
                  <w14:solidFill>
                    <w14:schemeClr w14:val="tx1"/>
                  </w14:solidFill>
                </w14:textFill>
              </w:rPr>
            </w:pPr>
            <w:r>
              <w:rPr>
                <w:rFonts w:ascii="仿宋" w:hAnsi="仿宋" w:eastAsia="仿宋" w:cs="仿宋"/>
                <w:i/>
                <w:iCs/>
                <w:color w:val="000000"/>
                <w:kern w:val="0"/>
                <w:sz w:val="24"/>
                <w:szCs w:val="24"/>
                <w:lang w:val="en-US" w:eastAsia="zh-CN" w:bidi="ar"/>
              </w:rPr>
              <w:t>（各市场主体可根据自身企业情况及项目目标拓展内容）</w:t>
            </w:r>
          </w:p>
        </w:tc>
      </w:tr>
    </w:tbl>
    <w:p>
      <w:pPr>
        <w:pStyle w:val="20"/>
        <w:widowControl/>
        <w:numPr>
          <w:ilvl w:val="0"/>
          <w:numId w:val="0"/>
        </w:numPr>
        <w:spacing w:line="360" w:lineRule="auto"/>
        <w:ind w:left="720" w:leftChars="0" w:hanging="720" w:firstLineChars="0"/>
        <w:rPr>
          <w:rFonts w:ascii="黑体" w:hAnsi="黑体" w:cs="Helvetica Neue"/>
          <w:b/>
          <w:color w:val="000000" w:themeColor="text1"/>
          <w:kern w:val="0"/>
          <w:sz w:val="32"/>
          <w:szCs w:val="32"/>
          <w14:textFill>
            <w14:solidFill>
              <w14:schemeClr w14:val="tx1"/>
            </w14:solidFill>
          </w14:textFill>
        </w:rPr>
      </w:pPr>
      <w:r>
        <w:rPr>
          <w:rFonts w:hint="eastAsia" w:ascii="黑体" w:hAnsi="黑体" w:cs="Helvetica Neue"/>
          <w:b/>
          <w:bCs/>
          <w:color w:val="000000" w:themeColor="text1"/>
          <w:kern w:val="0"/>
          <w:sz w:val="32"/>
          <w:szCs w:val="32"/>
          <w:lang w:val="en-US" w:eastAsia="zh-CN" w:bidi="ar-SA"/>
          <w14:textFill>
            <w14:solidFill>
              <w14:schemeClr w14:val="tx1"/>
            </w14:solidFill>
          </w14:textFill>
        </w:rPr>
        <w:t>三</w:t>
      </w:r>
      <w:r>
        <w:rPr>
          <w:rFonts w:hint="default" w:ascii="黑体" w:hAnsi="黑体" w:eastAsia="黑体" w:cs="Helvetica Neue"/>
          <w:b/>
          <w:bCs/>
          <w:color w:val="000000" w:themeColor="text1"/>
          <w:kern w:val="0"/>
          <w:sz w:val="32"/>
          <w:szCs w:val="32"/>
          <w:lang w:val="en-US" w:eastAsia="zh-CN" w:bidi="ar-SA"/>
          <w14:textFill>
            <w14:solidFill>
              <w14:schemeClr w14:val="tx1"/>
            </w14:solidFill>
          </w14:textFill>
        </w:rPr>
        <w:t>、</w:t>
      </w:r>
      <w:r>
        <w:rPr>
          <w:rFonts w:hint="eastAsia" w:ascii="黑体" w:hAnsi="黑体" w:cs="Helvetica Neue"/>
          <w:b/>
          <w:color w:val="000000" w:themeColor="text1"/>
          <w:kern w:val="0"/>
          <w:sz w:val="32"/>
          <w:szCs w:val="32"/>
          <w14:textFill>
            <w14:solidFill>
              <w14:schemeClr w14:val="tx1"/>
            </w14:solidFill>
          </w14:textFill>
        </w:rPr>
        <w:t>需求调查</w:t>
      </w:r>
    </w:p>
    <w:p>
      <w:pPr>
        <w:widowControl/>
        <w:spacing w:line="360" w:lineRule="auto"/>
        <w:rPr>
          <w:rFonts w:ascii="仿宋" w:hAnsi="仿宋" w:eastAsia="仿宋"/>
          <w:bCs/>
          <w:i/>
          <w:iCs/>
          <w:color w:val="000000" w:themeColor="text1"/>
          <w:sz w:val="24"/>
          <w:szCs w:val="22"/>
          <w14:textFill>
            <w14:solidFill>
              <w14:schemeClr w14:val="tx1"/>
            </w14:solidFill>
          </w14:textFill>
        </w:rPr>
      </w:pPr>
      <w:r>
        <w:rPr>
          <w:rFonts w:hint="eastAsia" w:ascii="仿宋" w:hAnsi="仿宋" w:eastAsia="仿宋" w:cs="Helvetica Neue"/>
          <w:b/>
          <w:color w:val="000000" w:themeColor="text1"/>
          <w:kern w:val="0"/>
          <w:sz w:val="32"/>
          <w:szCs w:val="32"/>
          <w14:textFill>
            <w14:solidFill>
              <w14:schemeClr w14:val="tx1"/>
            </w14:solidFill>
          </w14:textFill>
        </w:rPr>
        <w:t>（一）相关产业发展</w:t>
      </w:r>
      <w:r>
        <w:rPr>
          <w:rFonts w:hint="eastAsia" w:ascii="仿宋" w:hAnsi="仿宋" w:eastAsia="仿宋"/>
          <w:bCs/>
          <w:i/>
          <w:iCs/>
          <w:color w:val="000000" w:themeColor="text1"/>
          <w:sz w:val="24"/>
          <w:szCs w:val="22"/>
          <w14:textFill>
            <w14:solidFill>
              <w14:schemeClr w14:val="tx1"/>
            </w14:solidFill>
          </w14:textFill>
        </w:rPr>
        <w:t>（调查应当选择真实、有效的信息，信息来源应当有依据且符合当前市场实际情况，不得随意编造。）</w:t>
      </w:r>
    </w:p>
    <w:p>
      <w:pPr>
        <w:rPr>
          <w:rFonts w:ascii="仿宋" w:hAnsi="仿宋" w:eastAsia="仿宋"/>
          <w:sz w:val="32"/>
          <w:szCs w:val="32"/>
        </w:rPr>
      </w:pPr>
      <w:r>
        <w:rPr>
          <w:rFonts w:hint="eastAsia" w:ascii="仿宋" w:hAnsi="仿宋" w:eastAsia="仿宋"/>
          <w:sz w:val="32"/>
          <w:szCs w:val="32"/>
        </w:rPr>
        <w:t>1.现有产品的技术路线、工艺水平、技术水平或行业的发展历程、行业现状等：</w:t>
      </w: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2.可能涉及的企业资质、产品资质、人员资质：</w:t>
      </w:r>
    </w:p>
    <w:p>
      <w:pPr>
        <w:rPr>
          <w:rFonts w:hint="eastAsia" w:ascii="仿宋" w:hAnsi="仿宋" w:eastAsia="仿宋"/>
          <w:sz w:val="32"/>
          <w:szCs w:val="32"/>
        </w:rPr>
      </w:pPr>
    </w:p>
    <w:p>
      <w:pPr>
        <w:rPr>
          <w:rFonts w:hint="eastAsia"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3.涉及的相关标准和规范：</w:t>
      </w:r>
    </w:p>
    <w:p>
      <w:pPr>
        <w:rPr>
          <w:sz w:val="32"/>
          <w:szCs w:val="32"/>
        </w:rPr>
      </w:pPr>
    </w:p>
    <w:p>
      <w:pPr>
        <w:rPr>
          <w:sz w:val="32"/>
          <w:szCs w:val="32"/>
        </w:rPr>
      </w:pPr>
    </w:p>
    <w:p>
      <w:pPr>
        <w:rPr>
          <w:sz w:val="32"/>
          <w:szCs w:val="32"/>
        </w:rPr>
      </w:pPr>
    </w:p>
    <w:p>
      <w:pPr>
        <w:rPr>
          <w:sz w:val="32"/>
          <w:szCs w:val="32"/>
        </w:rPr>
      </w:pPr>
    </w:p>
    <w:p>
      <w:pPr>
        <w:widowControl/>
        <w:spacing w:line="360" w:lineRule="auto"/>
        <w:rPr>
          <w:rFonts w:ascii="仿宋" w:hAnsi="仿宋" w:eastAsia="仿宋"/>
          <w:bCs/>
          <w:i/>
          <w:iCs/>
          <w:color w:val="000000" w:themeColor="text1"/>
          <w:sz w:val="24"/>
          <w:szCs w:val="22"/>
          <w14:textFill>
            <w14:solidFill>
              <w14:schemeClr w14:val="tx1"/>
            </w14:solidFill>
          </w14:textFill>
        </w:rPr>
      </w:pPr>
      <w:r>
        <w:rPr>
          <w:rFonts w:hint="eastAsia" w:ascii="仿宋" w:hAnsi="仿宋" w:eastAsia="仿宋" w:cs="Helvetica Neue"/>
          <w:b/>
          <w:color w:val="000000" w:themeColor="text1"/>
          <w:kern w:val="0"/>
          <w:sz w:val="32"/>
          <w:szCs w:val="32"/>
          <w14:textFill>
            <w14:solidFill>
              <w14:schemeClr w14:val="tx1"/>
            </w14:solidFill>
          </w14:textFill>
        </w:rPr>
        <w:t>（二）市场供给</w:t>
      </w:r>
      <w:r>
        <w:rPr>
          <w:rFonts w:hint="eastAsia" w:ascii="仿宋" w:hAnsi="仿宋" w:eastAsia="仿宋"/>
          <w:bCs/>
          <w:i/>
          <w:iCs/>
          <w:color w:val="000000" w:themeColor="text1"/>
          <w:sz w:val="24"/>
          <w:szCs w:val="22"/>
          <w14:textFill>
            <w14:solidFill>
              <w14:schemeClr w14:val="tx1"/>
            </w14:solidFill>
          </w14:textFill>
        </w:rPr>
        <w:t>（调查应当选择真实、有效的信息，信息来源应当有依据且符合当前市场实际情况，不得随意编造。）</w:t>
      </w:r>
    </w:p>
    <w:p>
      <w:pPr>
        <w:rPr>
          <w:rFonts w:ascii="仿宋" w:hAnsi="仿宋" w:eastAsia="仿宋"/>
          <w:sz w:val="32"/>
          <w:szCs w:val="32"/>
        </w:rPr>
      </w:pPr>
      <w:r>
        <w:rPr>
          <w:rFonts w:hint="eastAsia" w:ascii="仿宋" w:hAnsi="仿宋" w:eastAsia="仿宋"/>
          <w:sz w:val="32"/>
          <w:szCs w:val="32"/>
        </w:rPr>
        <w:t>1.市场竞争程度：</w:t>
      </w:r>
    </w:p>
    <w:p>
      <w:pPr>
        <w:rPr>
          <w:sz w:val="32"/>
          <w:szCs w:val="32"/>
        </w:rPr>
      </w:pP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2.价格水平或价格构成：</w:t>
      </w:r>
    </w:p>
    <w:p>
      <w:pPr>
        <w:rPr>
          <w:sz w:val="32"/>
          <w:szCs w:val="32"/>
        </w:rPr>
      </w:pP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3.潜在供应商的数量、履约能力、售后服务能力：</w:t>
      </w:r>
    </w:p>
    <w:p>
      <w:pPr>
        <w:rPr>
          <w:sz w:val="32"/>
          <w:szCs w:val="32"/>
        </w:rPr>
      </w:pPr>
    </w:p>
    <w:p>
      <w:pPr>
        <w:rPr>
          <w:sz w:val="32"/>
          <w:szCs w:val="32"/>
        </w:rPr>
      </w:pPr>
    </w:p>
    <w:p>
      <w:pPr>
        <w:rPr>
          <w:sz w:val="32"/>
          <w:szCs w:val="32"/>
        </w:rPr>
      </w:pPr>
    </w:p>
    <w:p>
      <w:pPr>
        <w:rPr>
          <w:sz w:val="32"/>
          <w:szCs w:val="32"/>
        </w:rPr>
      </w:pPr>
    </w:p>
    <w:p>
      <w:pPr>
        <w:widowControl/>
        <w:spacing w:line="360" w:lineRule="auto"/>
        <w:rPr>
          <w:rFonts w:ascii="仿宋" w:hAnsi="仿宋" w:eastAsia="仿宋"/>
          <w:bCs/>
          <w:i/>
          <w:iCs/>
          <w:color w:val="000000" w:themeColor="text1"/>
          <w:sz w:val="24"/>
          <w:szCs w:val="22"/>
          <w14:textFill>
            <w14:solidFill>
              <w14:schemeClr w14:val="tx1"/>
            </w14:solidFill>
          </w14:textFill>
        </w:rPr>
      </w:pPr>
      <w:r>
        <w:rPr>
          <w:rFonts w:hint="eastAsia" w:ascii="仿宋" w:hAnsi="仿宋" w:eastAsia="仿宋" w:cs="Helvetica Neue"/>
          <w:b/>
          <w:color w:val="000000" w:themeColor="text1"/>
          <w:kern w:val="0"/>
          <w:sz w:val="32"/>
          <w:szCs w:val="32"/>
          <w14:textFill>
            <w14:solidFill>
              <w14:schemeClr w14:val="tx1"/>
            </w14:solidFill>
          </w14:textFill>
        </w:rPr>
        <w:t>（三）同类采购项目历史成交信息</w:t>
      </w:r>
      <w:r>
        <w:rPr>
          <w:rFonts w:hint="eastAsia" w:ascii="仿宋" w:hAnsi="仿宋" w:eastAsia="仿宋"/>
          <w:bCs/>
          <w:i/>
          <w:iCs/>
          <w:color w:val="000000" w:themeColor="text1"/>
          <w:sz w:val="24"/>
          <w:szCs w:val="22"/>
          <w14:textFill>
            <w14:solidFill>
              <w14:schemeClr w14:val="tx1"/>
            </w14:solidFill>
          </w14:textFill>
        </w:rPr>
        <w:t>（调查应当选择真实、有效的信息，信息来源应当有依据且符合当前市场实际情况，不得随意编造。）</w:t>
      </w:r>
    </w:p>
    <w:tbl>
      <w:tblPr>
        <w:tblStyle w:val="11"/>
        <w:tblW w:w="93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1204"/>
        <w:gridCol w:w="1326"/>
        <w:gridCol w:w="1243"/>
        <w:gridCol w:w="1034"/>
        <w:gridCol w:w="1139"/>
        <w:gridCol w:w="122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884" w:type="dxa"/>
            <w:vAlign w:val="center"/>
          </w:tcPr>
          <w:p>
            <w:pPr>
              <w:jc w:val="center"/>
              <w:rPr>
                <w:rFonts w:ascii="仿宋" w:hAnsi="仿宋" w:eastAsia="仿宋"/>
                <w:b/>
                <w:bCs/>
                <w:sz w:val="24"/>
              </w:rPr>
            </w:pPr>
            <w:r>
              <w:rPr>
                <w:rFonts w:hint="eastAsia" w:ascii="仿宋" w:hAnsi="仿宋" w:eastAsia="仿宋"/>
                <w:b/>
                <w:bCs/>
                <w:sz w:val="24"/>
              </w:rPr>
              <w:t>序号</w:t>
            </w:r>
          </w:p>
        </w:tc>
        <w:tc>
          <w:tcPr>
            <w:tcW w:w="1204" w:type="dxa"/>
            <w:vAlign w:val="center"/>
          </w:tcPr>
          <w:p>
            <w:pPr>
              <w:jc w:val="center"/>
              <w:rPr>
                <w:rFonts w:ascii="仿宋" w:hAnsi="仿宋" w:eastAsia="仿宋"/>
                <w:b/>
                <w:bCs/>
                <w:sz w:val="24"/>
              </w:rPr>
            </w:pPr>
            <w:r>
              <w:rPr>
                <w:rFonts w:hint="eastAsia" w:ascii="仿宋" w:hAnsi="仿宋" w:eastAsia="仿宋"/>
                <w:b/>
                <w:bCs/>
                <w:sz w:val="24"/>
              </w:rPr>
              <w:t>采购人</w:t>
            </w:r>
          </w:p>
        </w:tc>
        <w:tc>
          <w:tcPr>
            <w:tcW w:w="1326" w:type="dxa"/>
            <w:vAlign w:val="center"/>
          </w:tcPr>
          <w:p>
            <w:pPr>
              <w:jc w:val="center"/>
              <w:rPr>
                <w:rFonts w:ascii="仿宋" w:hAnsi="仿宋" w:eastAsia="仿宋"/>
                <w:b/>
                <w:bCs/>
                <w:sz w:val="24"/>
              </w:rPr>
            </w:pPr>
            <w:r>
              <w:rPr>
                <w:rFonts w:hint="eastAsia" w:ascii="仿宋" w:hAnsi="仿宋" w:eastAsia="仿宋"/>
                <w:b/>
                <w:bCs/>
                <w:sz w:val="24"/>
              </w:rPr>
              <w:t>项目名称</w:t>
            </w:r>
          </w:p>
        </w:tc>
        <w:tc>
          <w:tcPr>
            <w:tcW w:w="1243" w:type="dxa"/>
            <w:vAlign w:val="center"/>
          </w:tcPr>
          <w:p>
            <w:pPr>
              <w:jc w:val="center"/>
              <w:rPr>
                <w:rFonts w:ascii="仿宋" w:hAnsi="仿宋" w:eastAsia="仿宋"/>
                <w:b/>
                <w:bCs/>
                <w:sz w:val="24"/>
              </w:rPr>
            </w:pPr>
            <w:r>
              <w:rPr>
                <w:rFonts w:hint="eastAsia" w:ascii="仿宋" w:hAnsi="仿宋" w:eastAsia="仿宋"/>
                <w:b/>
                <w:bCs/>
                <w:sz w:val="24"/>
              </w:rPr>
              <w:t>项目预算</w:t>
            </w:r>
          </w:p>
        </w:tc>
        <w:tc>
          <w:tcPr>
            <w:tcW w:w="1034" w:type="dxa"/>
            <w:vAlign w:val="center"/>
          </w:tcPr>
          <w:p>
            <w:pPr>
              <w:jc w:val="center"/>
              <w:rPr>
                <w:rFonts w:ascii="仿宋" w:hAnsi="仿宋" w:eastAsia="仿宋"/>
                <w:b/>
                <w:bCs/>
                <w:sz w:val="24"/>
              </w:rPr>
            </w:pPr>
            <w:r>
              <w:rPr>
                <w:rFonts w:hint="eastAsia" w:ascii="仿宋" w:hAnsi="仿宋" w:eastAsia="仿宋"/>
                <w:b/>
                <w:bCs/>
                <w:sz w:val="24"/>
              </w:rPr>
              <w:t>中标人</w:t>
            </w:r>
          </w:p>
        </w:tc>
        <w:tc>
          <w:tcPr>
            <w:tcW w:w="1139" w:type="dxa"/>
            <w:vAlign w:val="center"/>
          </w:tcPr>
          <w:p>
            <w:pPr>
              <w:jc w:val="center"/>
              <w:rPr>
                <w:rFonts w:ascii="仿宋" w:hAnsi="仿宋" w:eastAsia="仿宋"/>
                <w:b/>
                <w:bCs/>
                <w:sz w:val="24"/>
              </w:rPr>
            </w:pPr>
            <w:r>
              <w:rPr>
                <w:rFonts w:hint="eastAsia" w:ascii="仿宋" w:hAnsi="仿宋" w:eastAsia="仿宋"/>
                <w:b/>
                <w:bCs/>
                <w:sz w:val="24"/>
              </w:rPr>
              <w:t>中标价</w:t>
            </w:r>
          </w:p>
        </w:tc>
        <w:tc>
          <w:tcPr>
            <w:tcW w:w="1229" w:type="dxa"/>
            <w:vAlign w:val="center"/>
          </w:tcPr>
          <w:p>
            <w:pPr>
              <w:jc w:val="center"/>
              <w:rPr>
                <w:rFonts w:ascii="仿宋" w:hAnsi="仿宋" w:eastAsia="仿宋"/>
                <w:b/>
                <w:bCs/>
                <w:sz w:val="24"/>
              </w:rPr>
            </w:pPr>
            <w:r>
              <w:rPr>
                <w:rFonts w:hint="eastAsia" w:ascii="仿宋" w:hAnsi="仿宋" w:eastAsia="仿宋"/>
                <w:b/>
                <w:bCs/>
                <w:sz w:val="24"/>
              </w:rPr>
              <w:t>中标品牌</w:t>
            </w:r>
          </w:p>
        </w:tc>
        <w:tc>
          <w:tcPr>
            <w:tcW w:w="1276" w:type="dxa"/>
            <w:vAlign w:val="center"/>
          </w:tcPr>
          <w:p>
            <w:pPr>
              <w:jc w:val="center"/>
              <w:rPr>
                <w:rFonts w:ascii="仿宋" w:hAnsi="仿宋" w:eastAsia="仿宋"/>
                <w:b/>
                <w:bCs/>
                <w:sz w:val="24"/>
              </w:rPr>
            </w:pPr>
            <w:r>
              <w:rPr>
                <w:rFonts w:hint="eastAsia" w:ascii="仿宋" w:hAnsi="仿宋" w:eastAsia="仿宋"/>
                <w:b/>
                <w:bCs/>
                <w:sz w:val="24"/>
              </w:rPr>
              <w:t>中标型号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884" w:type="dxa"/>
            <w:vAlign w:val="center"/>
          </w:tcPr>
          <w:p>
            <w:pPr>
              <w:jc w:val="center"/>
              <w:rPr>
                <w:rFonts w:ascii="仿宋" w:hAnsi="仿宋" w:eastAsia="仿宋"/>
                <w:sz w:val="24"/>
              </w:rPr>
            </w:pPr>
          </w:p>
        </w:tc>
        <w:tc>
          <w:tcPr>
            <w:tcW w:w="1204" w:type="dxa"/>
            <w:vAlign w:val="center"/>
          </w:tcPr>
          <w:p>
            <w:pPr>
              <w:jc w:val="center"/>
              <w:rPr>
                <w:rFonts w:ascii="仿宋" w:hAnsi="仿宋" w:eastAsia="仿宋"/>
                <w:sz w:val="24"/>
              </w:rPr>
            </w:pPr>
          </w:p>
        </w:tc>
        <w:tc>
          <w:tcPr>
            <w:tcW w:w="1326" w:type="dxa"/>
            <w:vAlign w:val="center"/>
          </w:tcPr>
          <w:p>
            <w:pPr>
              <w:jc w:val="center"/>
              <w:rPr>
                <w:rFonts w:ascii="仿宋" w:hAnsi="仿宋" w:eastAsia="仿宋"/>
                <w:sz w:val="24"/>
              </w:rPr>
            </w:pPr>
          </w:p>
        </w:tc>
        <w:tc>
          <w:tcPr>
            <w:tcW w:w="1243" w:type="dxa"/>
            <w:vAlign w:val="center"/>
          </w:tcPr>
          <w:p>
            <w:pPr>
              <w:jc w:val="center"/>
              <w:rPr>
                <w:rFonts w:ascii="仿宋" w:hAnsi="仿宋" w:eastAsia="仿宋"/>
                <w:sz w:val="24"/>
              </w:rPr>
            </w:pPr>
          </w:p>
        </w:tc>
        <w:tc>
          <w:tcPr>
            <w:tcW w:w="1034" w:type="dxa"/>
            <w:vAlign w:val="center"/>
          </w:tcPr>
          <w:p>
            <w:pPr>
              <w:jc w:val="center"/>
              <w:rPr>
                <w:rFonts w:ascii="仿宋" w:hAnsi="仿宋" w:eastAsia="仿宋"/>
                <w:sz w:val="24"/>
              </w:rPr>
            </w:pPr>
          </w:p>
        </w:tc>
        <w:tc>
          <w:tcPr>
            <w:tcW w:w="1139" w:type="dxa"/>
            <w:vAlign w:val="center"/>
          </w:tcPr>
          <w:p>
            <w:pPr>
              <w:jc w:val="center"/>
              <w:rPr>
                <w:rFonts w:ascii="仿宋" w:hAnsi="仿宋" w:eastAsia="仿宋"/>
                <w:sz w:val="24"/>
              </w:rPr>
            </w:pPr>
          </w:p>
        </w:tc>
        <w:tc>
          <w:tcPr>
            <w:tcW w:w="1229" w:type="dxa"/>
            <w:vAlign w:val="center"/>
          </w:tcPr>
          <w:p>
            <w:pPr>
              <w:jc w:val="center"/>
              <w:rPr>
                <w:rFonts w:ascii="仿宋" w:hAnsi="仿宋" w:eastAsia="仿宋"/>
                <w:sz w:val="24"/>
              </w:rPr>
            </w:pPr>
          </w:p>
        </w:tc>
        <w:tc>
          <w:tcPr>
            <w:tcW w:w="1276" w:type="dxa"/>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884" w:type="dxa"/>
            <w:vAlign w:val="center"/>
          </w:tcPr>
          <w:p>
            <w:pPr>
              <w:jc w:val="center"/>
              <w:rPr>
                <w:rFonts w:ascii="仿宋" w:hAnsi="仿宋" w:eastAsia="仿宋"/>
                <w:sz w:val="24"/>
              </w:rPr>
            </w:pPr>
          </w:p>
        </w:tc>
        <w:tc>
          <w:tcPr>
            <w:tcW w:w="1204" w:type="dxa"/>
            <w:vAlign w:val="center"/>
          </w:tcPr>
          <w:p>
            <w:pPr>
              <w:jc w:val="center"/>
              <w:rPr>
                <w:rFonts w:ascii="仿宋" w:hAnsi="仿宋" w:eastAsia="仿宋"/>
                <w:sz w:val="24"/>
              </w:rPr>
            </w:pPr>
          </w:p>
        </w:tc>
        <w:tc>
          <w:tcPr>
            <w:tcW w:w="1326" w:type="dxa"/>
            <w:vAlign w:val="center"/>
          </w:tcPr>
          <w:p>
            <w:pPr>
              <w:jc w:val="center"/>
              <w:rPr>
                <w:rFonts w:ascii="仿宋" w:hAnsi="仿宋" w:eastAsia="仿宋"/>
                <w:sz w:val="24"/>
              </w:rPr>
            </w:pPr>
          </w:p>
        </w:tc>
        <w:tc>
          <w:tcPr>
            <w:tcW w:w="1243" w:type="dxa"/>
            <w:vAlign w:val="center"/>
          </w:tcPr>
          <w:p>
            <w:pPr>
              <w:jc w:val="center"/>
              <w:rPr>
                <w:rFonts w:ascii="仿宋" w:hAnsi="仿宋" w:eastAsia="仿宋"/>
                <w:sz w:val="24"/>
              </w:rPr>
            </w:pPr>
          </w:p>
        </w:tc>
        <w:tc>
          <w:tcPr>
            <w:tcW w:w="1034" w:type="dxa"/>
            <w:vAlign w:val="center"/>
          </w:tcPr>
          <w:p>
            <w:pPr>
              <w:jc w:val="center"/>
              <w:rPr>
                <w:rFonts w:ascii="仿宋" w:hAnsi="仿宋" w:eastAsia="仿宋"/>
                <w:sz w:val="24"/>
              </w:rPr>
            </w:pPr>
          </w:p>
        </w:tc>
        <w:tc>
          <w:tcPr>
            <w:tcW w:w="1139" w:type="dxa"/>
            <w:vAlign w:val="center"/>
          </w:tcPr>
          <w:p>
            <w:pPr>
              <w:jc w:val="center"/>
              <w:rPr>
                <w:rFonts w:ascii="仿宋" w:hAnsi="仿宋" w:eastAsia="仿宋"/>
                <w:sz w:val="24"/>
              </w:rPr>
            </w:pPr>
          </w:p>
        </w:tc>
        <w:tc>
          <w:tcPr>
            <w:tcW w:w="1229" w:type="dxa"/>
            <w:vAlign w:val="center"/>
          </w:tcPr>
          <w:p>
            <w:pPr>
              <w:jc w:val="center"/>
              <w:rPr>
                <w:rFonts w:ascii="仿宋" w:hAnsi="仿宋" w:eastAsia="仿宋"/>
                <w:sz w:val="24"/>
              </w:rPr>
            </w:pPr>
          </w:p>
        </w:tc>
        <w:tc>
          <w:tcPr>
            <w:tcW w:w="1276" w:type="dxa"/>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884" w:type="dxa"/>
            <w:vAlign w:val="center"/>
          </w:tcPr>
          <w:p>
            <w:pPr>
              <w:jc w:val="center"/>
              <w:rPr>
                <w:rFonts w:ascii="仿宋" w:hAnsi="仿宋" w:eastAsia="仿宋"/>
                <w:sz w:val="24"/>
              </w:rPr>
            </w:pPr>
          </w:p>
        </w:tc>
        <w:tc>
          <w:tcPr>
            <w:tcW w:w="1204" w:type="dxa"/>
            <w:vAlign w:val="center"/>
          </w:tcPr>
          <w:p>
            <w:pPr>
              <w:jc w:val="center"/>
              <w:rPr>
                <w:rFonts w:ascii="仿宋" w:hAnsi="仿宋" w:eastAsia="仿宋"/>
                <w:sz w:val="24"/>
              </w:rPr>
            </w:pPr>
          </w:p>
        </w:tc>
        <w:tc>
          <w:tcPr>
            <w:tcW w:w="1326" w:type="dxa"/>
            <w:vAlign w:val="center"/>
          </w:tcPr>
          <w:p>
            <w:pPr>
              <w:jc w:val="center"/>
              <w:rPr>
                <w:rFonts w:ascii="仿宋" w:hAnsi="仿宋" w:eastAsia="仿宋"/>
                <w:sz w:val="24"/>
              </w:rPr>
            </w:pPr>
          </w:p>
        </w:tc>
        <w:tc>
          <w:tcPr>
            <w:tcW w:w="1243" w:type="dxa"/>
            <w:vAlign w:val="center"/>
          </w:tcPr>
          <w:p>
            <w:pPr>
              <w:jc w:val="center"/>
              <w:rPr>
                <w:rFonts w:ascii="仿宋" w:hAnsi="仿宋" w:eastAsia="仿宋"/>
                <w:sz w:val="24"/>
              </w:rPr>
            </w:pPr>
          </w:p>
        </w:tc>
        <w:tc>
          <w:tcPr>
            <w:tcW w:w="1034" w:type="dxa"/>
            <w:vAlign w:val="center"/>
          </w:tcPr>
          <w:p>
            <w:pPr>
              <w:jc w:val="center"/>
              <w:rPr>
                <w:rFonts w:ascii="仿宋" w:hAnsi="仿宋" w:eastAsia="仿宋"/>
                <w:sz w:val="24"/>
              </w:rPr>
            </w:pPr>
          </w:p>
        </w:tc>
        <w:tc>
          <w:tcPr>
            <w:tcW w:w="1139" w:type="dxa"/>
            <w:vAlign w:val="center"/>
          </w:tcPr>
          <w:p>
            <w:pPr>
              <w:jc w:val="center"/>
              <w:rPr>
                <w:rFonts w:ascii="仿宋" w:hAnsi="仿宋" w:eastAsia="仿宋"/>
                <w:sz w:val="24"/>
              </w:rPr>
            </w:pPr>
          </w:p>
        </w:tc>
        <w:tc>
          <w:tcPr>
            <w:tcW w:w="1229" w:type="dxa"/>
            <w:vAlign w:val="center"/>
          </w:tcPr>
          <w:p>
            <w:pPr>
              <w:jc w:val="center"/>
              <w:rPr>
                <w:rFonts w:ascii="仿宋" w:hAnsi="仿宋" w:eastAsia="仿宋"/>
                <w:sz w:val="24"/>
              </w:rPr>
            </w:pPr>
          </w:p>
        </w:tc>
        <w:tc>
          <w:tcPr>
            <w:tcW w:w="1276" w:type="dxa"/>
            <w:vAlign w:val="center"/>
          </w:tcPr>
          <w:p>
            <w:pPr>
              <w:jc w:val="center"/>
              <w:rPr>
                <w:rFonts w:ascii="仿宋" w:hAnsi="仿宋" w:eastAsia="仿宋"/>
                <w:sz w:val="24"/>
              </w:rPr>
            </w:pPr>
          </w:p>
        </w:tc>
      </w:tr>
    </w:tbl>
    <w:p>
      <w:pPr>
        <w:widowControl/>
        <w:spacing w:line="360" w:lineRule="auto"/>
        <w:rPr>
          <w:rFonts w:ascii="仿宋" w:hAnsi="仿宋" w:eastAsia="仿宋"/>
          <w:bCs/>
          <w:i/>
          <w:iCs/>
          <w:color w:val="000000" w:themeColor="text1"/>
          <w:sz w:val="24"/>
          <w:szCs w:val="22"/>
          <w14:textFill>
            <w14:solidFill>
              <w14:schemeClr w14:val="tx1"/>
            </w14:solidFill>
          </w14:textFill>
        </w:rPr>
      </w:pPr>
      <w:r>
        <w:rPr>
          <w:rFonts w:hint="eastAsia" w:ascii="仿宋" w:hAnsi="仿宋" w:eastAsia="仿宋" w:cs="Helvetica Neue"/>
          <w:b/>
          <w:color w:val="000000" w:themeColor="text1"/>
          <w:kern w:val="0"/>
          <w:sz w:val="32"/>
          <w:szCs w:val="32"/>
          <w14:textFill>
            <w14:solidFill>
              <w14:schemeClr w14:val="tx1"/>
            </w14:solidFill>
          </w14:textFill>
        </w:rPr>
        <w:t>（四）后续采购情况</w:t>
      </w:r>
      <w:r>
        <w:rPr>
          <w:rFonts w:hint="eastAsia" w:ascii="仿宋" w:hAnsi="仿宋" w:eastAsia="仿宋"/>
          <w:bCs/>
          <w:i/>
          <w:iCs/>
          <w:color w:val="000000" w:themeColor="text1"/>
          <w:sz w:val="24"/>
          <w:szCs w:val="22"/>
          <w14:textFill>
            <w14:solidFill>
              <w14:schemeClr w14:val="tx1"/>
            </w14:solidFill>
          </w14:textFill>
        </w:rPr>
        <w:t>（调查应当选择真实、有效的信息，信息来源应当有依据且符合当前市场实际情况，不得随意编造。）</w:t>
      </w:r>
    </w:p>
    <w:p>
      <w:pPr>
        <w:rPr>
          <w:rFonts w:ascii="仿宋" w:hAnsi="仿宋" w:eastAsia="仿宋" w:cs="Arial"/>
          <w:color w:val="191919"/>
          <w:sz w:val="32"/>
          <w:szCs w:val="32"/>
        </w:rPr>
      </w:pPr>
      <w:r>
        <w:rPr>
          <w:rFonts w:hint="eastAsia" w:ascii="仿宋" w:hAnsi="仿宋" w:eastAsia="仿宋"/>
          <w:sz w:val="32"/>
          <w:szCs w:val="32"/>
        </w:rPr>
        <w:t>1.</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pPr>
        <w:rPr>
          <w:sz w:val="32"/>
          <w:szCs w:val="32"/>
        </w:rPr>
      </w:pPr>
    </w:p>
    <w:p>
      <w:pPr>
        <w:rPr>
          <w:sz w:val="32"/>
          <w:szCs w:val="32"/>
        </w:rPr>
      </w:pPr>
    </w:p>
    <w:p>
      <w:pPr>
        <w:rPr>
          <w:sz w:val="32"/>
          <w:szCs w:val="32"/>
        </w:rPr>
      </w:pPr>
    </w:p>
    <w:p>
      <w:pPr>
        <w:rPr>
          <w:sz w:val="32"/>
          <w:szCs w:val="32"/>
        </w:rPr>
      </w:pPr>
    </w:p>
    <w:p>
      <w:pPr>
        <w:widowControl/>
        <w:spacing w:line="360" w:lineRule="auto"/>
        <w:rPr>
          <w:rFonts w:ascii="仿宋" w:hAnsi="仿宋" w:eastAsia="仿宋"/>
          <w:bCs/>
          <w:i/>
          <w:iCs/>
          <w:color w:val="000000" w:themeColor="text1"/>
          <w:sz w:val="24"/>
          <w:szCs w:val="22"/>
          <w14:textFill>
            <w14:solidFill>
              <w14:schemeClr w14:val="tx1"/>
            </w14:solidFill>
          </w14:textFill>
        </w:rPr>
      </w:pPr>
      <w:r>
        <w:rPr>
          <w:rFonts w:hint="eastAsia" w:ascii="仿宋" w:hAnsi="仿宋" w:eastAsia="仿宋" w:cs="Helvetica Neue"/>
          <w:b/>
          <w:color w:val="000000" w:themeColor="text1"/>
          <w:kern w:val="0"/>
          <w:sz w:val="32"/>
          <w:szCs w:val="32"/>
          <w14:textFill>
            <w14:solidFill>
              <w14:schemeClr w14:val="tx1"/>
            </w14:solidFill>
          </w14:textFill>
        </w:rPr>
        <w:t>（五）其他情况</w:t>
      </w:r>
      <w:r>
        <w:rPr>
          <w:rFonts w:hint="eastAsia" w:ascii="仿宋" w:hAnsi="仿宋" w:eastAsia="仿宋"/>
          <w:bCs/>
          <w:i/>
          <w:iCs/>
          <w:color w:val="000000" w:themeColor="text1"/>
          <w:sz w:val="24"/>
          <w:szCs w:val="22"/>
          <w14:textFill>
            <w14:solidFill>
              <w14:schemeClr w14:val="tx1"/>
            </w14:solidFill>
          </w14:textFill>
        </w:rPr>
        <w:t>（调查应当选择真实、有效的信息，信息来源应当有依据且符合当前市场实际情况，不得随意编造。）</w:t>
      </w:r>
    </w:p>
    <w:p>
      <w:pPr>
        <w:keepNext w:val="0"/>
        <w:keepLines w:val="0"/>
        <w:widowControl/>
        <w:suppressLineNumbers w:val="0"/>
        <w:jc w:val="left"/>
      </w:pPr>
      <w:r>
        <w:rPr>
          <w:rFonts w:ascii="仿宋" w:hAnsi="仿宋" w:eastAsia="仿宋" w:cs="仿宋"/>
          <w:color w:val="000000"/>
          <w:kern w:val="0"/>
          <w:sz w:val="31"/>
          <w:szCs w:val="31"/>
          <w:lang w:val="en-US" w:eastAsia="zh-CN" w:bidi="ar"/>
        </w:rPr>
        <w:t>1.是否适宜由中小企业提供，并专门面向中小企业采购：</w:t>
      </w:r>
    </w:p>
    <w:p>
      <w:pPr>
        <w:rPr>
          <w:sz w:val="32"/>
          <w:szCs w:val="32"/>
        </w:rPr>
      </w:pPr>
    </w:p>
    <w:p>
      <w:pPr>
        <w:rPr>
          <w:sz w:val="32"/>
          <w:szCs w:val="32"/>
        </w:rPr>
      </w:pPr>
    </w:p>
    <w:p>
      <w:pPr>
        <w:rPr>
          <w:sz w:val="32"/>
          <w:szCs w:val="32"/>
        </w:rPr>
      </w:pPr>
    </w:p>
    <w:p>
      <w:pPr>
        <w:rPr>
          <w:sz w:val="32"/>
          <w:szCs w:val="32"/>
        </w:rPr>
      </w:pPr>
    </w:p>
    <w:p>
      <w:pPr>
        <w:spacing w:line="360" w:lineRule="auto"/>
        <w:rPr>
          <w:rFonts w:ascii="仿宋" w:hAnsi="仿宋" w:eastAsia="仿宋"/>
          <w:b/>
          <w:bCs/>
          <w:sz w:val="32"/>
          <w:szCs w:val="32"/>
        </w:rPr>
      </w:pPr>
      <w:r>
        <w:rPr>
          <w:rFonts w:hint="eastAsia" w:ascii="仿宋" w:hAnsi="仿宋" w:eastAsia="仿宋"/>
          <w:b/>
          <w:bCs/>
          <w:sz w:val="32"/>
          <w:szCs w:val="32"/>
        </w:rPr>
        <w:t>（</w:t>
      </w:r>
      <w:r>
        <w:rPr>
          <w:rFonts w:hint="eastAsia" w:ascii="仿宋" w:hAnsi="仿宋" w:eastAsia="仿宋"/>
          <w:b/>
          <w:bCs/>
          <w:sz w:val="32"/>
          <w:szCs w:val="32"/>
          <w:lang w:val="en-US" w:eastAsia="zh-CN"/>
        </w:rPr>
        <w:t>六</w:t>
      </w:r>
      <w:r>
        <w:rPr>
          <w:rFonts w:hint="eastAsia" w:ascii="仿宋" w:hAnsi="仿宋" w:eastAsia="仿宋"/>
          <w:b/>
          <w:bCs/>
          <w:sz w:val="32"/>
          <w:szCs w:val="32"/>
        </w:rPr>
        <w:t>）技术要求与商务要求</w:t>
      </w:r>
    </w:p>
    <w:p>
      <w:pPr>
        <w:spacing w:line="360" w:lineRule="auto"/>
        <w:rPr>
          <w:rFonts w:ascii="仿宋" w:hAnsi="仿宋" w:eastAsia="仿宋"/>
          <w:sz w:val="28"/>
          <w:szCs w:val="28"/>
          <w:u w:val="single"/>
        </w:rPr>
      </w:pPr>
      <w:r>
        <w:rPr>
          <w:rFonts w:ascii="仿宋" w:hAnsi="仿宋" w:eastAsia="仿宋"/>
          <w:sz w:val="32"/>
          <w:szCs w:val="32"/>
        </w:rPr>
        <w:t>1</w:t>
      </w:r>
      <w:r>
        <w:rPr>
          <w:rFonts w:hint="eastAsia" w:ascii="仿宋" w:hAnsi="仿宋" w:eastAsia="仿宋"/>
          <w:sz w:val="32"/>
          <w:szCs w:val="32"/>
        </w:rPr>
        <w:t>、采购标的一：</w:t>
      </w:r>
      <w:r>
        <w:rPr>
          <w:rFonts w:hint="eastAsia" w:ascii="仿宋" w:hAnsi="仿宋" w:eastAsia="仿宋"/>
          <w:sz w:val="32"/>
          <w:szCs w:val="32"/>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rPr>
          <w:rFonts w:ascii="仿宋" w:hAnsi="仿宋" w:eastAsia="仿宋"/>
          <w:sz w:val="32"/>
          <w:szCs w:val="32"/>
        </w:rPr>
      </w:pPr>
      <w:r>
        <w:rPr>
          <w:rFonts w:hint="eastAsia" w:ascii="仿宋" w:hAnsi="仿宋" w:eastAsia="仿宋"/>
          <w:sz w:val="32"/>
          <w:szCs w:val="40"/>
        </w:rPr>
        <w:t>（1）技术要求（包括性能、材料、结构、外观、安全或服务内容和服务标准）</w:t>
      </w:r>
      <w:r>
        <w:rPr>
          <w:rFonts w:hint="eastAsia" w:ascii="仿宋" w:hAnsi="仿宋" w:eastAsia="仿宋"/>
          <w:sz w:val="32"/>
          <w:szCs w:val="32"/>
        </w:rPr>
        <w:t>：</w:t>
      </w:r>
    </w:p>
    <w:p>
      <w:pPr>
        <w:spacing w:line="360" w:lineRule="auto"/>
        <w:rPr>
          <w:rFonts w:ascii="仿宋" w:hAnsi="仿宋" w:eastAsia="仿宋"/>
          <w:sz w:val="28"/>
          <w:szCs w:val="28"/>
        </w:rPr>
      </w:pPr>
      <w:r>
        <w:rPr>
          <w:rFonts w:hint="eastAsia" w:ascii="仿宋" w:hAnsi="仿宋" w:eastAsia="仿宋"/>
          <w:sz w:val="28"/>
          <w:szCs w:val="28"/>
          <w:u w:val="single"/>
        </w:rPr>
        <w:t xml:space="preserve"> </w:t>
      </w:r>
      <w:r>
        <w:rPr>
          <w:rFonts w:ascii="仿宋" w:hAnsi="仿宋" w:eastAsia="仿宋"/>
          <w:sz w:val="28"/>
          <w:szCs w:val="28"/>
          <w:u w:val="single"/>
        </w:rPr>
        <w:t xml:space="preserve">                                                          </w:t>
      </w:r>
    </w:p>
    <w:p>
      <w:pPr>
        <w:spacing w:line="360" w:lineRule="auto"/>
        <w:rPr>
          <w:rFonts w:ascii="仿宋" w:hAnsi="仿宋" w:eastAsia="仿宋"/>
          <w:sz w:val="28"/>
          <w:szCs w:val="36"/>
        </w:rPr>
      </w:pP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
      <w:pPr>
        <w:spacing w:line="360" w:lineRule="auto"/>
        <w:rPr>
          <w:rFonts w:ascii="仿宋" w:hAnsi="仿宋" w:eastAsia="仿宋"/>
          <w:sz w:val="32"/>
          <w:szCs w:val="32"/>
        </w:rPr>
      </w:pPr>
      <w:r>
        <w:rPr>
          <w:rFonts w:hint="eastAsia" w:ascii="仿宋" w:hAnsi="仿宋" w:eastAsia="仿宋"/>
          <w:sz w:val="32"/>
          <w:szCs w:val="40"/>
        </w:rPr>
        <w:t>（2）</w:t>
      </w:r>
      <w:r>
        <w:rPr>
          <w:rFonts w:hint="eastAsia" w:ascii="仿宋" w:hAnsi="仿宋" w:eastAsia="仿宋"/>
          <w:sz w:val="32"/>
          <w:szCs w:val="32"/>
        </w:rPr>
        <w:t>商务要求：</w:t>
      </w:r>
    </w:p>
    <w:p>
      <w:pPr>
        <w:spacing w:line="360" w:lineRule="auto"/>
        <w:rPr>
          <w:rFonts w:ascii="仿宋" w:hAnsi="仿宋" w:eastAsia="仿宋"/>
          <w:sz w:val="28"/>
          <w:szCs w:val="28"/>
        </w:rPr>
      </w:pPr>
      <w:r>
        <w:rPr>
          <w:rFonts w:hint="eastAsia" w:ascii="仿宋" w:hAnsi="仿宋" w:eastAsia="仿宋"/>
          <w:sz w:val="32"/>
          <w:szCs w:val="32"/>
          <w:lang w:val="en-US" w:eastAsia="zh-CN"/>
        </w:rPr>
        <w:t>1</w:t>
      </w:r>
      <w:r>
        <w:rPr>
          <w:rFonts w:hint="eastAsia" w:ascii="仿宋" w:hAnsi="仿宋" w:eastAsia="仿宋"/>
          <w:sz w:val="32"/>
          <w:szCs w:val="32"/>
        </w:rPr>
        <w:t>）交付时间：</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rPr>
          <w:rFonts w:ascii="仿宋" w:hAnsi="仿宋" w:eastAsia="仿宋"/>
          <w:sz w:val="28"/>
          <w:szCs w:val="28"/>
        </w:rPr>
      </w:pPr>
      <w:r>
        <w:rPr>
          <w:rFonts w:hint="eastAsia" w:ascii="仿宋" w:hAnsi="仿宋" w:eastAsia="仿宋"/>
          <w:sz w:val="32"/>
          <w:szCs w:val="32"/>
        </w:rPr>
        <w:t>2）地点：</w:t>
      </w:r>
      <w:r>
        <w:rPr>
          <w:rFonts w:hint="eastAsia" w:ascii="仿宋" w:hAnsi="仿宋" w:eastAsia="仿宋"/>
          <w:sz w:val="32"/>
          <w:szCs w:val="32"/>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rPr>
          <w:rFonts w:ascii="仿宋" w:hAnsi="仿宋" w:eastAsia="仿宋"/>
          <w:sz w:val="28"/>
          <w:szCs w:val="28"/>
        </w:rPr>
      </w:pPr>
      <w:r>
        <w:rPr>
          <w:rFonts w:hint="eastAsia" w:ascii="仿宋" w:hAnsi="仿宋" w:eastAsia="仿宋"/>
          <w:sz w:val="32"/>
          <w:szCs w:val="32"/>
        </w:rPr>
        <w:t>3）付款进度和方式</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rPr>
          <w:rFonts w:ascii="仿宋" w:hAnsi="仿宋" w:eastAsia="仿宋"/>
          <w:sz w:val="28"/>
          <w:szCs w:val="28"/>
        </w:rPr>
      </w:pPr>
      <w:r>
        <w:rPr>
          <w:rFonts w:hint="eastAsia" w:ascii="仿宋" w:hAnsi="仿宋" w:eastAsia="仿宋"/>
          <w:sz w:val="32"/>
          <w:szCs w:val="32"/>
        </w:rPr>
        <w:t>4）包装运输</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rPr>
          <w:rFonts w:ascii="仿宋" w:hAnsi="仿宋" w:eastAsia="仿宋"/>
          <w:sz w:val="28"/>
          <w:szCs w:val="28"/>
        </w:rPr>
      </w:pPr>
      <w:r>
        <w:rPr>
          <w:rFonts w:hint="eastAsia" w:ascii="仿宋" w:hAnsi="仿宋" w:eastAsia="仿宋"/>
          <w:sz w:val="32"/>
          <w:szCs w:val="32"/>
        </w:rPr>
        <w:t>5）售后服务</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rPr>
          <w:rFonts w:hint="eastAsia" w:ascii="仿宋" w:hAnsi="仿宋" w:eastAsia="仿宋"/>
          <w:sz w:val="28"/>
          <w:szCs w:val="28"/>
        </w:rPr>
      </w:pPr>
      <w:r>
        <w:rPr>
          <w:rFonts w:hint="eastAsia" w:ascii="仿宋" w:hAnsi="仿宋" w:eastAsia="仿宋"/>
          <w:sz w:val="32"/>
          <w:szCs w:val="32"/>
        </w:rPr>
        <w:t>6）保险</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rPr>
          <w:rFonts w:hint="eastAsia" w:ascii="仿宋" w:hAnsi="仿宋" w:eastAsia="仿宋"/>
          <w:sz w:val="32"/>
          <w:szCs w:val="32"/>
          <w:lang w:val="en-US" w:eastAsia="zh-CN"/>
        </w:rPr>
      </w:pPr>
    </w:p>
    <w:p>
      <w:pPr>
        <w:spacing w:line="360" w:lineRule="auto"/>
        <w:rPr>
          <w:rFonts w:ascii="仿宋" w:hAnsi="仿宋" w:eastAsia="仿宋"/>
          <w:sz w:val="28"/>
          <w:szCs w:val="28"/>
          <w:u w:val="single"/>
        </w:rPr>
      </w:pPr>
      <w:r>
        <w:rPr>
          <w:rFonts w:hint="eastAsia" w:ascii="仿宋" w:hAnsi="仿宋" w:eastAsia="仿宋"/>
          <w:sz w:val="32"/>
          <w:szCs w:val="32"/>
          <w:lang w:val="en-US" w:eastAsia="zh-CN"/>
        </w:rPr>
        <w:t>2</w:t>
      </w:r>
      <w:r>
        <w:rPr>
          <w:rFonts w:hint="eastAsia" w:ascii="仿宋" w:hAnsi="仿宋" w:eastAsia="仿宋"/>
          <w:sz w:val="32"/>
          <w:szCs w:val="32"/>
        </w:rPr>
        <w:t>、采购标的</w:t>
      </w:r>
      <w:r>
        <w:rPr>
          <w:rFonts w:hint="eastAsia" w:ascii="仿宋" w:hAnsi="仿宋" w:eastAsia="仿宋"/>
          <w:sz w:val="32"/>
          <w:szCs w:val="32"/>
          <w:lang w:eastAsia="zh-CN"/>
        </w:rPr>
        <w:t>二</w:t>
      </w:r>
      <w:r>
        <w:rPr>
          <w:rFonts w:hint="eastAsia" w:ascii="仿宋" w:hAnsi="仿宋" w:eastAsia="仿宋"/>
          <w:sz w:val="32"/>
          <w:szCs w:val="32"/>
        </w:rPr>
        <w:t>：</w:t>
      </w:r>
      <w:r>
        <w:rPr>
          <w:rFonts w:hint="eastAsia" w:ascii="仿宋" w:hAnsi="仿宋" w:eastAsia="仿宋"/>
          <w:sz w:val="32"/>
          <w:szCs w:val="32"/>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pPr>
      <w:r>
        <w:rPr>
          <w:rFonts w:hint="eastAsia" w:ascii="仿宋" w:hAnsi="仿宋" w:eastAsia="仿宋"/>
          <w:sz w:val="32"/>
          <w:szCs w:val="40"/>
        </w:rPr>
        <w:t>（1）技术要求</w:t>
      </w:r>
      <w:r>
        <w:rPr>
          <w:rFonts w:hint="eastAsia" w:ascii="仿宋" w:hAnsi="仿宋" w:eastAsia="仿宋"/>
          <w:sz w:val="32"/>
          <w:szCs w:val="32"/>
        </w:rPr>
        <w:t>：</w:t>
      </w:r>
    </w:p>
    <w:p>
      <w:pPr>
        <w:spacing w:line="360" w:lineRule="auto"/>
      </w:pPr>
      <w:r>
        <w:rPr>
          <w:rFonts w:hint="eastAsia" w:ascii="仿宋" w:hAnsi="仿宋" w:eastAsia="仿宋"/>
          <w:sz w:val="32"/>
          <w:szCs w:val="40"/>
        </w:rPr>
        <w:t>（2）</w:t>
      </w:r>
      <w:r>
        <w:rPr>
          <w:rFonts w:hint="eastAsia" w:ascii="仿宋" w:hAnsi="仿宋" w:eastAsia="仿宋"/>
          <w:sz w:val="32"/>
          <w:szCs w:val="32"/>
        </w:rPr>
        <w:t>商务要求：</w:t>
      </w:r>
    </w:p>
    <w:p>
      <w:pPr>
        <w:widowControl/>
        <w:spacing w:line="360" w:lineRule="auto"/>
        <w:ind w:firstLine="480" w:firstLineChars="200"/>
        <w:jc w:val="left"/>
        <w:rPr>
          <w:rFonts w:ascii="仿宋" w:hAnsi="仿宋" w:eastAsia="仿宋"/>
          <w:i/>
          <w:iCs/>
          <w:sz w:val="24"/>
        </w:rPr>
      </w:pPr>
      <w:r>
        <w:rPr>
          <w:rFonts w:hint="eastAsia" w:ascii="仿宋" w:hAnsi="仿宋" w:eastAsia="仿宋"/>
          <w:i/>
          <w:iCs/>
          <w:sz w:val="24"/>
        </w:rPr>
        <w:t>（说明：采购需求应当清楚明了、表述规范、含义准确。技术要求应当客观，量化指标应当明确相应等次，有连续区间的按照区间划分等次。需由供应商提供设计方案、解决方案或者组织方案的采购项目，应当说明采购标的的功能、应用场景、目标等基本要求，并尽可能明确其中的客观、量化指标。）</w:t>
      </w:r>
    </w:p>
    <w:p>
      <w:pPr>
        <w:rPr>
          <w:rFonts w:ascii="仿宋" w:hAnsi="仿宋" w:eastAsia="仿宋"/>
          <w:sz w:val="32"/>
          <w:szCs w:val="32"/>
        </w:rPr>
      </w:pPr>
    </w:p>
    <w:p>
      <w:pPr>
        <w:pStyle w:val="3"/>
        <w:jc w:val="center"/>
        <w:rPr>
          <w:rFonts w:hint="eastAsia" w:ascii="仿宋" w:hAnsi="仿宋" w:eastAsia="仿宋"/>
          <w:sz w:val="32"/>
          <w:szCs w:val="32"/>
          <w:lang w:val="en-US" w:eastAsia="zh-CN"/>
        </w:rPr>
      </w:pPr>
      <w:r>
        <w:rPr>
          <w:rFonts w:hint="eastAsia" w:ascii="仿宋" w:hAnsi="仿宋" w:eastAsia="仿宋"/>
          <w:sz w:val="32"/>
          <w:szCs w:val="32"/>
          <w:lang w:val="en-US" w:eastAsia="zh-CN"/>
        </w:rPr>
        <w:t>采购需求编制（调研版）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000000"/>
          <w:spacing w:val="0"/>
          <w:kern w:val="0"/>
          <w:sz w:val="21"/>
          <w:szCs w:val="21"/>
          <w:highlight w:val="none"/>
          <w:shd w:val="clear" w:color="0A0000" w:fill="FFFFFF"/>
          <w:vertAlign w:val="baseline"/>
          <w:lang w:val="en-US" w:eastAsia="zh-CN"/>
        </w:rPr>
      </w:pPr>
      <w:r>
        <w:rPr>
          <w:rFonts w:hint="eastAsia" w:ascii="宋体" w:hAnsi="宋体" w:eastAsia="宋体" w:cs="宋体"/>
          <w:b/>
          <w:bCs/>
          <w:i w:val="0"/>
          <w:iCs w:val="0"/>
          <w:caps w:val="0"/>
          <w:color w:val="000000"/>
          <w:spacing w:val="0"/>
          <w:kern w:val="0"/>
          <w:sz w:val="21"/>
          <w:szCs w:val="21"/>
          <w:highlight w:val="none"/>
          <w:shd w:val="clear" w:color="0C0000" w:fill="FFFFFF"/>
          <w:vertAlign w:val="baseline"/>
          <w:lang w:val="en-US" w:eastAsia="zh-CN"/>
        </w:rPr>
        <w:t>一、采购项目名称：</w:t>
      </w:r>
      <w:r>
        <w:rPr>
          <w:rFonts w:hint="eastAsia" w:ascii="宋体" w:hAnsi="宋体" w:eastAsia="宋体" w:cs="宋体"/>
          <w:color w:val="000000"/>
          <w:highlight w:val="none"/>
          <w:lang w:val="en-US" w:eastAsia="zh-CN"/>
        </w:rPr>
        <w:t>2024-2027年云浮新区绿化景观综合管养服务项目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u w:val="none"/>
          <w:lang w:val="en-US" w:eastAsia="zh-CN"/>
        </w:rPr>
      </w:pPr>
      <w:r>
        <w:rPr>
          <w:rFonts w:hint="eastAsia" w:ascii="宋体" w:hAnsi="宋体" w:eastAsia="宋体" w:cs="宋体"/>
          <w:b/>
          <w:bCs/>
          <w:i w:val="0"/>
          <w:iCs w:val="0"/>
          <w:caps w:val="0"/>
          <w:color w:val="000000"/>
          <w:spacing w:val="0"/>
          <w:kern w:val="0"/>
          <w:sz w:val="21"/>
          <w:szCs w:val="21"/>
          <w:highlight w:val="none"/>
          <w:shd w:val="clear" w:color="0C0000" w:fill="FFFFFF"/>
          <w:vertAlign w:val="baseline"/>
          <w:lang w:val="en-US" w:eastAsia="zh-CN"/>
        </w:rPr>
        <w:t>二、项目预算（元）：</w:t>
      </w:r>
      <w:r>
        <w:rPr>
          <w:rFonts w:hint="eastAsia" w:ascii="宋体" w:hAnsi="宋体" w:eastAsia="宋体" w:cs="宋体"/>
          <w:sz w:val="21"/>
          <w:szCs w:val="21"/>
          <w:highlight w:val="none"/>
          <w:u w:val="none"/>
          <w:lang w:val="en-US" w:eastAsia="zh-CN"/>
        </w:rPr>
        <w:t>大写：</w:t>
      </w:r>
      <w:r>
        <w:rPr>
          <w:rFonts w:hint="eastAsia" w:ascii="宋体" w:hAnsi="宋体" w:eastAsia="宋体" w:cs="宋体"/>
          <w:color w:val="000000"/>
          <w:highlight w:val="none"/>
          <w:lang w:val="en-US" w:eastAsia="zh-CN"/>
        </w:rPr>
        <w:t>壹仟伍佰贰拾玖万玖仟贰佰叁拾捌元柒角贰分；小写：¥15299238.72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sz w:val="21"/>
          <w:szCs w:val="21"/>
          <w:highlight w:val="none"/>
          <w:lang w:val="en-US" w:eastAsia="zh-CN"/>
        </w:rPr>
      </w:pPr>
      <w:r>
        <w:rPr>
          <w:rFonts w:hint="eastAsia" w:ascii="宋体" w:hAnsi="宋体" w:eastAsia="宋体" w:cs="宋体"/>
          <w:b/>
          <w:bCs/>
          <w:color w:val="000000"/>
          <w:sz w:val="21"/>
          <w:szCs w:val="21"/>
          <w:highlight w:val="none"/>
          <w:lang w:val="en-US" w:eastAsia="zh-CN"/>
        </w:rPr>
        <w:t>三、项目概况</w:t>
      </w:r>
    </w:p>
    <w:p>
      <w:pPr>
        <w:spacing w:line="360" w:lineRule="auto"/>
        <w:ind w:firstLine="420" w:firstLineChars="200"/>
        <w:jc w:val="both"/>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1、项目名称：新区绿化景观综合管养综合服务项目。  </w:t>
      </w:r>
    </w:p>
    <w:p>
      <w:pPr>
        <w:numPr>
          <w:ilvl w:val="0"/>
          <w:numId w:val="0"/>
        </w:numPr>
        <w:spacing w:line="360" w:lineRule="auto"/>
        <w:ind w:firstLine="420" w:firstLineChars="200"/>
        <w:jc w:val="both"/>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lang w:val="en-US" w:eastAsia="zh-CN" w:bidi="ar-SA"/>
        </w:rPr>
        <w:t>2、</w:t>
      </w:r>
      <w:r>
        <w:rPr>
          <w:rFonts w:hint="eastAsia" w:ascii="宋体" w:hAnsi="宋体" w:eastAsia="宋体" w:cs="宋体"/>
          <w:color w:val="auto"/>
          <w:kern w:val="0"/>
          <w:sz w:val="21"/>
          <w:szCs w:val="21"/>
          <w:highlight w:val="none"/>
          <w:lang w:val="en-US" w:eastAsia="zh-CN"/>
        </w:rPr>
        <w:t xml:space="preserve">由新区景观一期、孵化基地小区绿化景观、东山森林公园、宿舍周边绿化景观、道路景观等综合管养组成。管养总面积946741.54平方米，其中绿地面积916020.98平方米，硬底化面积49929.05平方米，水体面积30720.56平方米；行道树2905株。              </w:t>
      </w:r>
    </w:p>
    <w:p>
      <w:pPr>
        <w:numPr>
          <w:ilvl w:val="0"/>
          <w:numId w:val="0"/>
        </w:numPr>
        <w:spacing w:line="360" w:lineRule="auto"/>
        <w:ind w:firstLine="420" w:firstLineChars="200"/>
        <w:jc w:val="both"/>
        <w:rPr>
          <w:rFonts w:hint="eastAsia" w:ascii="宋体" w:hAnsi="宋体" w:eastAsia="宋体" w:cs="宋体"/>
          <w:b/>
          <w:bCs/>
          <w:color w:val="000000"/>
          <w:sz w:val="21"/>
          <w:szCs w:val="21"/>
          <w:highlight w:val="none"/>
          <w:lang w:val="en-US" w:eastAsia="zh-CN"/>
        </w:rPr>
      </w:pPr>
      <w:r>
        <w:rPr>
          <w:rFonts w:hint="eastAsia" w:ascii="宋体" w:hAnsi="宋体" w:eastAsia="宋体" w:cs="宋体"/>
          <w:b w:val="0"/>
          <w:bCs w:val="0"/>
          <w:color w:val="000000"/>
          <w:kern w:val="2"/>
          <w:sz w:val="21"/>
          <w:szCs w:val="21"/>
          <w:lang w:val="en-US" w:eastAsia="zh-CN" w:bidi="ar-SA"/>
        </w:rPr>
        <w:t>3、</w:t>
      </w:r>
      <w:r>
        <w:rPr>
          <w:rFonts w:hint="eastAsia" w:ascii="宋体" w:hAnsi="宋体" w:eastAsia="宋体" w:cs="宋体"/>
          <w:color w:val="auto"/>
          <w:kern w:val="0"/>
          <w:sz w:val="21"/>
          <w:szCs w:val="21"/>
          <w:highlight w:val="none"/>
          <w:lang w:val="en-US" w:eastAsia="zh-CN"/>
        </w:rPr>
        <w:t>综合管养包含：绿化常规管护、环境卫生、市政维修管护总承包和防风、防汛、防旱、防冻等自然灾害的园林绿化抗灾抢险应急处理及政府重大活动的城市园林绿化强化维护。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sz w:val="21"/>
          <w:szCs w:val="21"/>
          <w:highlight w:val="none"/>
          <w:lang w:val="en-US" w:eastAsia="zh-CN"/>
        </w:rPr>
      </w:pPr>
      <w:r>
        <w:rPr>
          <w:rFonts w:hint="eastAsia" w:ascii="宋体" w:hAnsi="宋体" w:eastAsia="宋体" w:cs="宋体"/>
          <w:b/>
          <w:bCs/>
          <w:color w:val="000000"/>
          <w:sz w:val="21"/>
          <w:szCs w:val="21"/>
          <w:highlight w:val="none"/>
          <w:lang w:val="en-US" w:eastAsia="zh-CN"/>
        </w:rPr>
        <w:t>四、采购项目内容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000000"/>
          <w:sz w:val="21"/>
          <w:szCs w:val="21"/>
          <w:highlight w:val="none"/>
          <w:lang w:val="en-US" w:eastAsia="zh-CN"/>
        </w:rPr>
        <w:t>说明：</w:t>
      </w:r>
      <w:r>
        <w:rPr>
          <w:rFonts w:hint="eastAsia" w:ascii="宋体" w:hAnsi="宋体" w:eastAsia="宋体" w:cs="宋体"/>
          <w:b/>
          <w:bCs/>
          <w:color w:val="auto"/>
          <w:sz w:val="21"/>
          <w:szCs w:val="21"/>
          <w:highlight w:val="none"/>
          <w:lang w:val="en-US" w:eastAsia="zh-CN"/>
        </w:rPr>
        <w:t>（1）投标人须对本项目的服务进行整体响应，任何只对其中一部分内容进行的响应都被视为无效响应。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（2）加“★”项是实质性响应要求。投标人要特别加以注意，必须对此回答并完全满足这些要求。否则若有一项“★”的指标未响应或不满足，将按无效投标处理。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sz w:val="21"/>
          <w:szCs w:val="21"/>
          <w:highlight w:val="none"/>
          <w:lang w:val="en-US" w:eastAsia="zh-CN"/>
        </w:rPr>
      </w:pPr>
      <w:r>
        <w:rPr>
          <w:rFonts w:hint="eastAsia" w:ascii="宋体" w:hAnsi="宋体" w:eastAsia="宋体" w:cs="宋体"/>
          <w:b/>
          <w:bCs/>
          <w:color w:val="000000"/>
          <w:sz w:val="21"/>
          <w:szCs w:val="21"/>
          <w:highlight w:val="none"/>
          <w:lang w:val="en-US" w:eastAsia="zh-CN"/>
        </w:rPr>
        <w:t>（一）项目一览表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675"/>
        <w:gridCol w:w="925"/>
        <w:gridCol w:w="2738"/>
        <w:gridCol w:w="1587"/>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600"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b/>
                <w:bCs/>
                <w:color w:val="000000"/>
                <w:sz w:val="21"/>
                <w:szCs w:val="21"/>
                <w:highlight w:val="none"/>
                <w:vertAlign w:val="baseline"/>
                <w:lang w:val="en-US" w:eastAsia="zh-CN"/>
              </w:rPr>
            </w:pPr>
            <w:r>
              <w:rPr>
                <w:rFonts w:hint="eastAsia" w:ascii="宋体" w:hAnsi="宋体" w:eastAsia="宋体" w:cs="宋体"/>
                <w:b/>
                <w:bCs/>
                <w:color w:val="000000"/>
                <w:sz w:val="21"/>
                <w:szCs w:val="21"/>
                <w:highlight w:val="none"/>
                <w:vertAlign w:val="baseline"/>
                <w:lang w:val="en-US" w:eastAsia="zh-CN"/>
              </w:rPr>
              <w:t>序号</w:t>
            </w:r>
          </w:p>
        </w:tc>
        <w:tc>
          <w:tcPr>
            <w:tcW w:w="2675"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b/>
                <w:bCs/>
                <w:color w:val="000000"/>
                <w:sz w:val="21"/>
                <w:szCs w:val="21"/>
                <w:highlight w:val="none"/>
                <w:vertAlign w:val="baseline"/>
                <w:lang w:val="en-US" w:eastAsia="zh-CN"/>
              </w:rPr>
            </w:pPr>
            <w:r>
              <w:rPr>
                <w:rFonts w:hint="eastAsia" w:ascii="宋体" w:hAnsi="宋体" w:eastAsia="宋体" w:cs="宋体"/>
                <w:b/>
                <w:bCs/>
                <w:color w:val="000000"/>
                <w:sz w:val="21"/>
                <w:szCs w:val="21"/>
                <w:highlight w:val="none"/>
                <w:vertAlign w:val="baseline"/>
                <w:lang w:val="en-US" w:eastAsia="zh-CN"/>
              </w:rPr>
              <w:t>采购内容</w:t>
            </w:r>
          </w:p>
        </w:tc>
        <w:tc>
          <w:tcPr>
            <w:tcW w:w="925"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b/>
                <w:bCs/>
                <w:color w:val="000000"/>
                <w:sz w:val="21"/>
                <w:szCs w:val="21"/>
                <w:highlight w:val="none"/>
                <w:vertAlign w:val="baseline"/>
                <w:lang w:val="en-US" w:eastAsia="zh-CN"/>
              </w:rPr>
            </w:pPr>
            <w:r>
              <w:rPr>
                <w:rFonts w:hint="eastAsia" w:ascii="宋体" w:hAnsi="宋体" w:eastAsia="宋体" w:cs="宋体"/>
                <w:b/>
                <w:bCs/>
                <w:color w:val="000000"/>
                <w:sz w:val="21"/>
                <w:szCs w:val="21"/>
                <w:highlight w:val="none"/>
                <w:vertAlign w:val="baseline"/>
                <w:lang w:val="en-US" w:eastAsia="zh-CN"/>
              </w:rPr>
              <w:t>数量/单位</w:t>
            </w:r>
          </w:p>
        </w:tc>
        <w:tc>
          <w:tcPr>
            <w:tcW w:w="2738"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b/>
                <w:bCs/>
                <w:color w:val="000000"/>
                <w:sz w:val="21"/>
                <w:szCs w:val="21"/>
                <w:highlight w:val="none"/>
                <w:vertAlign w:val="baseline"/>
                <w:lang w:val="en-US" w:eastAsia="zh-CN"/>
              </w:rPr>
            </w:pPr>
            <w:r>
              <w:rPr>
                <w:rFonts w:hint="eastAsia" w:ascii="宋体" w:hAnsi="宋体" w:eastAsia="宋体" w:cs="宋体"/>
                <w:b/>
                <w:bCs/>
                <w:color w:val="000000"/>
                <w:sz w:val="21"/>
                <w:szCs w:val="21"/>
                <w:highlight w:val="none"/>
                <w:vertAlign w:val="baseline"/>
                <w:lang w:val="en-US" w:eastAsia="zh-CN"/>
              </w:rPr>
              <w:t>预算金额（元）</w:t>
            </w:r>
          </w:p>
        </w:tc>
        <w:tc>
          <w:tcPr>
            <w:tcW w:w="1587"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b/>
                <w:bCs/>
                <w:color w:val="000000"/>
                <w:sz w:val="21"/>
                <w:szCs w:val="21"/>
                <w:highlight w:val="none"/>
                <w:vertAlign w:val="baseline"/>
                <w:lang w:val="en-US" w:eastAsia="zh-CN"/>
              </w:rPr>
            </w:pPr>
            <w:r>
              <w:rPr>
                <w:rFonts w:hint="eastAsia" w:ascii="宋体" w:hAnsi="宋体" w:eastAsia="宋体" w:cs="宋体"/>
                <w:b/>
                <w:bCs/>
                <w:color w:val="000000"/>
                <w:sz w:val="21"/>
                <w:szCs w:val="21"/>
                <w:highlight w:val="none"/>
                <w:vertAlign w:val="baseline"/>
                <w:lang w:val="en-US" w:eastAsia="zh-CN"/>
              </w:rPr>
              <w:t>服务期</w:t>
            </w:r>
          </w:p>
        </w:tc>
        <w:tc>
          <w:tcPr>
            <w:tcW w:w="1313"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b/>
                <w:bCs/>
                <w:color w:val="000000"/>
                <w:sz w:val="21"/>
                <w:szCs w:val="21"/>
                <w:highlight w:val="none"/>
                <w:vertAlign w:val="baseline"/>
                <w:lang w:val="en-US" w:eastAsia="zh-CN"/>
              </w:rPr>
            </w:pPr>
            <w:r>
              <w:rPr>
                <w:rFonts w:hint="eastAsia" w:ascii="宋体" w:hAnsi="宋体" w:eastAsia="宋体" w:cs="宋体"/>
                <w:b/>
                <w:bCs/>
                <w:color w:val="000000"/>
                <w:sz w:val="21"/>
                <w:szCs w:val="21"/>
                <w:highlight w:val="none"/>
                <w:vertAlign w:val="baseline"/>
                <w:lang w:val="en-US" w:eastAsia="zh-CN"/>
              </w:rPr>
              <w:t>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1</w:t>
            </w:r>
          </w:p>
        </w:tc>
        <w:tc>
          <w:tcPr>
            <w:tcW w:w="2675"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right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lang w:val="en-US" w:eastAsia="zh-CN"/>
              </w:rPr>
              <w:t>2024-2027年云浮新区绿化景观综合管养服务项目</w:t>
            </w:r>
          </w:p>
        </w:tc>
        <w:tc>
          <w:tcPr>
            <w:tcW w:w="925"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i w:val="0"/>
                <w:iCs w:val="0"/>
                <w:caps w:val="0"/>
                <w:color w:val="000000"/>
                <w:spacing w:val="0"/>
                <w:kern w:val="0"/>
                <w:sz w:val="21"/>
                <w:szCs w:val="21"/>
                <w:highlight w:val="none"/>
                <w:shd w:val="clear" w:color="0A0000" w:fill="FFFFFF"/>
                <w:vertAlign w:val="baseline"/>
                <w:lang w:val="en-US" w:eastAsia="zh-CN"/>
              </w:rPr>
            </w:pPr>
            <w:r>
              <w:rPr>
                <w:rFonts w:hint="eastAsia" w:ascii="宋体" w:hAnsi="宋体" w:eastAsia="宋体" w:cs="宋体"/>
                <w:i w:val="0"/>
                <w:iCs w:val="0"/>
                <w:caps w:val="0"/>
                <w:color w:val="000000"/>
                <w:spacing w:val="0"/>
                <w:kern w:val="0"/>
                <w:sz w:val="21"/>
                <w:szCs w:val="21"/>
                <w:highlight w:val="none"/>
                <w:shd w:val="clear" w:color="0A0000" w:fill="FFFFFF"/>
                <w:vertAlign w:val="baseline"/>
                <w:lang w:val="en-US" w:eastAsia="zh-CN"/>
              </w:rPr>
              <w:t>1项</w:t>
            </w:r>
          </w:p>
        </w:tc>
        <w:tc>
          <w:tcPr>
            <w:tcW w:w="2738"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both"/>
              <w:rPr>
                <w:rFonts w:hint="eastAsia" w:ascii="宋体" w:hAnsi="宋体" w:eastAsia="宋体" w:cs="宋体"/>
                <w:color w:val="000000"/>
                <w:sz w:val="21"/>
                <w:szCs w:val="21"/>
                <w:highlight w:val="none"/>
                <w:lang w:val="en-US" w:eastAsia="zh-CN"/>
              </w:rPr>
            </w:pPr>
            <w:r>
              <w:rPr>
                <w:rFonts w:hint="eastAsia" w:ascii="宋体" w:hAnsi="宋体" w:eastAsia="宋体" w:cs="宋体"/>
                <w:sz w:val="21"/>
                <w:szCs w:val="21"/>
                <w:highlight w:val="none"/>
                <w:u w:val="none"/>
                <w:lang w:val="en-US" w:eastAsia="zh-CN"/>
              </w:rPr>
              <w:t>大写：</w:t>
            </w:r>
            <w:r>
              <w:rPr>
                <w:rFonts w:hint="eastAsia" w:ascii="宋体" w:hAnsi="宋体" w:eastAsia="宋体" w:cs="宋体"/>
                <w:color w:val="000000"/>
                <w:highlight w:val="none"/>
                <w:lang w:val="en-US" w:eastAsia="zh-CN"/>
              </w:rPr>
              <w:t>壹仟伍佰贰拾玖万玖仟贰佰叁拾捌元柒角贰分；小写：¥15299238.72</w:t>
            </w:r>
          </w:p>
        </w:tc>
        <w:tc>
          <w:tcPr>
            <w:tcW w:w="1587"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right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snapToGrid/>
                <w:color w:val="auto"/>
                <w:spacing w:val="0"/>
                <w:kern w:val="2"/>
                <w:sz w:val="21"/>
                <w:szCs w:val="21"/>
                <w:highlight w:val="none"/>
              </w:rPr>
              <w:t>自合同签订之日起三年</w:t>
            </w:r>
          </w:p>
        </w:tc>
        <w:tc>
          <w:tcPr>
            <w:tcW w:w="1313" w:type="dxa"/>
            <w:noWrap w:val="0"/>
            <w:vAlign w:val="center"/>
          </w:tcPr>
          <w:p>
            <w:pPr>
              <w:keepNext w:val="0"/>
              <w:keepLines w:val="0"/>
              <w:numPr>
                <w:ilvl w:val="0"/>
                <w:numId w:val="0"/>
              </w:numPr>
              <w:suppressLineNumbers w:val="0"/>
              <w:bidi w:val="0"/>
              <w:spacing w:before="0" w:beforeLines="0" w:beforeAutospacing="0" w:after="0" w:afterLines="0" w:afterAutospacing="0" w:line="360" w:lineRule="auto"/>
              <w:ind w:left="0" w:right="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lang w:val="en-US" w:eastAsia="zh-CN"/>
              </w:rPr>
              <w:t>其他未列明行业</w:t>
            </w:r>
          </w:p>
        </w:tc>
      </w:tr>
    </w:tbl>
    <w:p>
      <w:pPr>
        <w:pStyle w:val="5"/>
        <w:numPr>
          <w:ilvl w:val="0"/>
          <w:numId w:val="0"/>
        </w:numPr>
        <w:tabs>
          <w:tab w:val="left" w:pos="540"/>
        </w:tabs>
        <w:autoSpaceDE/>
        <w:autoSpaceDN/>
        <w:snapToGrid w:val="0"/>
        <w:spacing w:line="360" w:lineRule="auto"/>
        <w:ind w:left="420" w:leftChars="0" w:hanging="420" w:firstLineChars="0"/>
        <w:jc w:val="both"/>
        <w:rPr>
          <w:rFonts w:hint="eastAsia" w:ascii="宋体" w:hAnsi="宋体" w:eastAsia="宋体" w:cs="宋体"/>
          <w:b/>
          <w:bCs/>
          <w:color w:val="auto"/>
          <w:sz w:val="21"/>
          <w:szCs w:val="21"/>
          <w:highlight w:val="none"/>
        </w:rPr>
      </w:pPr>
      <w:r>
        <w:rPr>
          <w:rFonts w:hint="eastAsia" w:ascii="宋体" w:hAnsi="宋体" w:eastAsia="宋体" w:cs="宋体"/>
          <w:b/>
          <w:bCs/>
          <w:color w:val="000000"/>
          <w:kern w:val="2"/>
          <w:sz w:val="21"/>
          <w:szCs w:val="21"/>
          <w:lang w:val="en-US" w:eastAsia="zh-CN"/>
        </w:rPr>
        <w:t>（二）</w:t>
      </w:r>
      <w:r>
        <w:rPr>
          <w:rFonts w:hint="eastAsia" w:ascii="宋体" w:hAnsi="宋体" w:eastAsia="宋体" w:cs="宋体"/>
          <w:b/>
          <w:bCs/>
          <w:color w:val="auto"/>
          <w:sz w:val="21"/>
          <w:szCs w:val="21"/>
          <w:highlight w:val="none"/>
        </w:rPr>
        <w:t>项目服务具体内容</w:t>
      </w:r>
    </w:p>
    <w:p>
      <w:pPr>
        <w:numPr>
          <w:ilvl w:val="0"/>
          <w:numId w:val="0"/>
        </w:num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1、绿化常规管养。包含绿地及行道树管养：修剪、松土除杂、淋水、施肥、病虫害防治（含绿地乔木涂白）、复壮及公园、绿地环境卫生清扫保洁。</w:t>
      </w:r>
    </w:p>
    <w:p>
      <w:pPr>
        <w:numPr>
          <w:ilvl w:val="0"/>
          <w:numId w:val="0"/>
        </w:num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2、环境卫生。生产生活垃圾清运；清理水面及沿岸杂物等，园建小品、设施、建筑等清洗清洁。</w:t>
      </w:r>
    </w:p>
    <w:p>
      <w:pPr>
        <w:numPr>
          <w:ilvl w:val="0"/>
          <w:numId w:val="0"/>
        </w:num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3、市政维修管理。坐凳、指示牌、标示牌、庭院灯、音响、灯箱损坏修复及日常维护等管养内容。</w:t>
      </w:r>
    </w:p>
    <w:p>
      <w:pPr>
        <w:numPr>
          <w:ilvl w:val="0"/>
          <w:numId w:val="0"/>
        </w:num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4、防风、防汛、防旱、防冻等自然灾害的园林绿化抗灾抢险应急处理，突发、紧急事件、重大节假日或有特殊任务及政府重大活动的城市园林绿化强化维护。</w:t>
      </w:r>
    </w:p>
    <w:p>
      <w:pPr>
        <w:numPr>
          <w:ilvl w:val="0"/>
          <w:numId w:val="0"/>
        </w:num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5、垃圾投放容器、儿童娱乐、健身设施配套。服务单位配套公园内的垃圾投放容器141个、儿童娱乐和健身设施26组，包含日常维护及检修。</w:t>
      </w:r>
    </w:p>
    <w:p>
      <w:pPr>
        <w:numPr>
          <w:ilvl w:val="0"/>
          <w:numId w:val="0"/>
        </w:numPr>
        <w:spacing w:line="360" w:lineRule="auto"/>
        <w:ind w:left="0" w:leftChars="0" w:firstLine="0" w:firstLineChars="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6、高速路口导流岛时花。选用指定应时花卉，每年更换四次，确保每年花期常开，保证植株日常管养，包含浇水、补缺、扶正、回收等工作。</w:t>
      </w:r>
    </w:p>
    <w:p>
      <w:pPr>
        <w:numPr>
          <w:ilvl w:val="0"/>
          <w:numId w:val="0"/>
        </w:num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kern w:val="2"/>
          <w:sz w:val="21"/>
          <w:szCs w:val="21"/>
          <w:lang w:val="en-US" w:eastAsia="zh-CN" w:bidi="ar-SA"/>
        </w:rPr>
        <w:t>7、</w:t>
      </w:r>
      <w:r>
        <w:rPr>
          <w:rFonts w:hint="eastAsia" w:ascii="宋体" w:hAnsi="宋体" w:eastAsia="宋体" w:cs="宋体"/>
          <w:color w:val="auto"/>
          <w:sz w:val="21"/>
          <w:szCs w:val="21"/>
          <w:highlight w:val="none"/>
          <w:lang w:val="en-US" w:eastAsia="zh-CN"/>
        </w:rPr>
        <w:t>其中：硬底化部分包含：园路、平台、栈道等；园建小品包含：廊架、桥梁、凳、指示牌、标识牌、塑石等。</w:t>
      </w:r>
      <w:bookmarkStart w:id="0" w:name="_GoBack"/>
      <w:bookmarkEnd w:id="0"/>
    </w:p>
    <w:p>
      <w:pPr>
        <w:numPr>
          <w:ilvl w:val="0"/>
          <w:numId w:val="0"/>
        </w:numPr>
        <w:spacing w:line="360" w:lineRule="auto"/>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lang w:val="en-US" w:eastAsia="zh-CN"/>
        </w:rPr>
        <w:t>（三）</w:t>
      </w:r>
      <w:r>
        <w:rPr>
          <w:rFonts w:hint="eastAsia" w:ascii="宋体" w:hAnsi="宋体" w:eastAsia="宋体" w:cs="宋体"/>
          <w:b/>
          <w:bCs/>
          <w:color w:val="auto"/>
          <w:sz w:val="21"/>
          <w:szCs w:val="21"/>
          <w:highlight w:val="none"/>
        </w:rPr>
        <w:t>服务范围：(具体见云浮新区绿化景观综合管养工程量明细表)</w:t>
      </w:r>
    </w:p>
    <w:tbl>
      <w:tblPr>
        <w:tblStyle w:val="10"/>
        <w:tblW w:w="0" w:type="auto"/>
        <w:tblInd w:w="0" w:type="dxa"/>
        <w:tblLayout w:type="fixed"/>
        <w:tblCellMar>
          <w:top w:w="0" w:type="dxa"/>
          <w:left w:w="108" w:type="dxa"/>
          <w:bottom w:w="0" w:type="dxa"/>
          <w:right w:w="108" w:type="dxa"/>
        </w:tblCellMar>
      </w:tblPr>
      <w:tblGrid>
        <w:gridCol w:w="446"/>
        <w:gridCol w:w="595"/>
        <w:gridCol w:w="983"/>
        <w:gridCol w:w="446"/>
        <w:gridCol w:w="1152"/>
        <w:gridCol w:w="986"/>
        <w:gridCol w:w="1054"/>
        <w:gridCol w:w="948"/>
        <w:gridCol w:w="1050"/>
        <w:gridCol w:w="1152"/>
        <w:gridCol w:w="1150"/>
      </w:tblGrid>
      <w:tr>
        <w:tblPrEx>
          <w:tblCellMar>
            <w:top w:w="0" w:type="dxa"/>
            <w:left w:w="108" w:type="dxa"/>
            <w:bottom w:w="0" w:type="dxa"/>
            <w:right w:w="108" w:type="dxa"/>
          </w:tblCellMar>
        </w:tblPrEx>
        <w:trPr>
          <w:trHeight w:val="495" w:hRule="atLeast"/>
        </w:trPr>
        <w:tc>
          <w:tcPr>
            <w:tcW w:w="44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序号</w:t>
            </w:r>
          </w:p>
        </w:tc>
        <w:tc>
          <w:tcPr>
            <w:tcW w:w="1578" w:type="dxa"/>
            <w:gridSpan w:val="2"/>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分项</w:t>
            </w:r>
          </w:p>
        </w:tc>
        <w:tc>
          <w:tcPr>
            <w:tcW w:w="446" w:type="dxa"/>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单位</w:t>
            </w:r>
          </w:p>
        </w:tc>
        <w:tc>
          <w:tcPr>
            <w:tcW w:w="1152" w:type="dxa"/>
            <w:tcBorders>
              <w:top w:val="single" w:color="000000" w:sz="4" w:space="0"/>
              <w:left w:val="nil"/>
              <w:bottom w:val="nil"/>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景观一期</w:t>
            </w:r>
          </w:p>
        </w:tc>
        <w:tc>
          <w:tcPr>
            <w:tcW w:w="986" w:type="dxa"/>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孵化基地</w:t>
            </w:r>
          </w:p>
        </w:tc>
        <w:tc>
          <w:tcPr>
            <w:tcW w:w="1054" w:type="dxa"/>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东山</w:t>
            </w:r>
          </w:p>
        </w:tc>
        <w:tc>
          <w:tcPr>
            <w:tcW w:w="948" w:type="dxa"/>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宿舍</w:t>
            </w:r>
          </w:p>
        </w:tc>
        <w:tc>
          <w:tcPr>
            <w:tcW w:w="1050" w:type="dxa"/>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道路</w:t>
            </w:r>
            <w:r>
              <w:rPr>
                <w:rFonts w:hint="eastAsia" w:ascii="宋体" w:hAnsi="宋体" w:eastAsia="宋体" w:cs="宋体"/>
                <w:color w:val="000000"/>
                <w:sz w:val="18"/>
                <w:szCs w:val="18"/>
                <w:lang w:eastAsia="zh-CN"/>
              </w:rPr>
              <w:t>绿化</w:t>
            </w:r>
          </w:p>
        </w:tc>
        <w:tc>
          <w:tcPr>
            <w:tcW w:w="1152" w:type="dxa"/>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lang w:eastAsia="zh-CN"/>
              </w:rPr>
              <w:t>退建绿地</w:t>
            </w:r>
          </w:p>
        </w:tc>
        <w:tc>
          <w:tcPr>
            <w:tcW w:w="1150" w:type="dxa"/>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b/>
                <w:bCs/>
                <w:color w:val="auto"/>
                <w:kern w:val="0"/>
                <w:sz w:val="18"/>
                <w:szCs w:val="18"/>
                <w:highlight w:val="none"/>
              </w:rPr>
            </w:pPr>
            <w:r>
              <w:rPr>
                <w:rFonts w:hint="eastAsia" w:ascii="宋体" w:hAnsi="宋体" w:eastAsia="宋体" w:cs="宋体"/>
                <w:color w:val="000000"/>
                <w:sz w:val="18"/>
                <w:szCs w:val="18"/>
              </w:rPr>
              <w:t>数量合计</w:t>
            </w:r>
          </w:p>
        </w:tc>
      </w:tr>
      <w:tr>
        <w:tblPrEx>
          <w:tblCellMar>
            <w:top w:w="0" w:type="dxa"/>
            <w:left w:w="108" w:type="dxa"/>
            <w:bottom w:w="0" w:type="dxa"/>
            <w:right w:w="108" w:type="dxa"/>
          </w:tblCellMar>
        </w:tblPrEx>
        <w:trPr>
          <w:trHeight w:val="315" w:hRule="atLeast"/>
        </w:trPr>
        <w:tc>
          <w:tcPr>
            <w:tcW w:w="446" w:type="dxa"/>
            <w:vMerge w:val="restart"/>
            <w:tcBorders>
              <w:top w:val="nil"/>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rPr>
              <w:t>一</w:t>
            </w:r>
          </w:p>
        </w:tc>
        <w:tc>
          <w:tcPr>
            <w:tcW w:w="595" w:type="dxa"/>
            <w:vMerge w:val="restart"/>
            <w:tcBorders>
              <w:top w:val="nil"/>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auto"/>
                <w:kern w:val="0"/>
                <w:sz w:val="18"/>
                <w:szCs w:val="18"/>
                <w:highlight w:val="none"/>
                <w:lang w:eastAsia="zh-CN"/>
              </w:rPr>
            </w:pPr>
            <w:r>
              <w:rPr>
                <w:rFonts w:hint="eastAsia" w:ascii="宋体" w:hAnsi="宋体" w:eastAsia="宋体" w:cs="宋体"/>
                <w:color w:val="000000"/>
                <w:sz w:val="18"/>
                <w:szCs w:val="18"/>
              </w:rPr>
              <w:t>绿地</w:t>
            </w:r>
          </w:p>
        </w:tc>
        <w:tc>
          <w:tcPr>
            <w:tcW w:w="983" w:type="dxa"/>
            <w:tcBorders>
              <w:top w:val="nil"/>
              <w:left w:val="nil"/>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rPr>
              <w:t>行道树</w:t>
            </w:r>
          </w:p>
        </w:tc>
        <w:tc>
          <w:tcPr>
            <w:tcW w:w="446" w:type="dxa"/>
            <w:tcBorders>
              <w:top w:val="nil"/>
              <w:left w:val="nil"/>
              <w:bottom w:val="single" w:color="000000" w:sz="4" w:space="0"/>
              <w:right w:val="nil"/>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rPr>
              <w:t>株</w:t>
            </w:r>
          </w:p>
        </w:tc>
        <w:tc>
          <w:tcPr>
            <w:tcW w:w="1152" w:type="dxa"/>
            <w:tcBorders>
              <w:top w:val="single" w:color="auto" w:sz="4" w:space="0"/>
              <w:left w:val="single" w:color="auto" w:sz="4" w:space="0"/>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lang w:val="en-US" w:eastAsia="zh-CN"/>
              </w:rPr>
              <w:t>216</w:t>
            </w:r>
          </w:p>
        </w:tc>
        <w:tc>
          <w:tcPr>
            <w:tcW w:w="986"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rPr>
              <w:t>0</w:t>
            </w:r>
          </w:p>
        </w:tc>
        <w:tc>
          <w:tcPr>
            <w:tcW w:w="1054"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rPr>
              <w:t>0</w:t>
            </w:r>
          </w:p>
        </w:tc>
        <w:tc>
          <w:tcPr>
            <w:tcW w:w="948"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rPr>
              <w:t>0</w:t>
            </w:r>
          </w:p>
        </w:tc>
        <w:tc>
          <w:tcPr>
            <w:tcW w:w="1050" w:type="dxa"/>
            <w:tcBorders>
              <w:top w:val="nil"/>
              <w:left w:val="nil"/>
              <w:bottom w:val="nil"/>
              <w:right w:val="nil"/>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lang w:val="en-US" w:eastAsia="zh-CN"/>
              </w:rPr>
              <w:t>2689</w:t>
            </w:r>
          </w:p>
        </w:tc>
        <w:tc>
          <w:tcPr>
            <w:tcW w:w="1152" w:type="dxa"/>
            <w:tcBorders>
              <w:top w:val="nil"/>
              <w:left w:val="single" w:color="000000" w:sz="4" w:space="0"/>
              <w:bottom w:val="single" w:color="000000" w:sz="4" w:space="0"/>
              <w:right w:val="single" w:color="000000"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lang w:val="en-US" w:eastAsia="zh-CN" w:bidi="ar-SA"/>
              </w:rPr>
              <w:t>0</w:t>
            </w:r>
          </w:p>
        </w:tc>
        <w:tc>
          <w:tcPr>
            <w:tcW w:w="11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lang w:val="en-US" w:eastAsia="zh-CN"/>
              </w:rPr>
              <w:t>2905</w:t>
            </w:r>
          </w:p>
        </w:tc>
      </w:tr>
      <w:tr>
        <w:tblPrEx>
          <w:tblCellMar>
            <w:top w:w="0" w:type="dxa"/>
            <w:left w:w="108" w:type="dxa"/>
            <w:bottom w:w="0" w:type="dxa"/>
            <w:right w:w="108" w:type="dxa"/>
          </w:tblCellMar>
        </w:tblPrEx>
        <w:trPr>
          <w:trHeight w:val="315" w:hRule="atLeast"/>
        </w:trPr>
        <w:tc>
          <w:tcPr>
            <w:tcW w:w="446"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595"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983" w:type="dxa"/>
            <w:tcBorders>
              <w:top w:val="nil"/>
              <w:left w:val="nil"/>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eastAsia="zh-CN"/>
              </w:rPr>
              <w:t>绿化</w:t>
            </w:r>
          </w:p>
        </w:tc>
        <w:tc>
          <w:tcPr>
            <w:tcW w:w="44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w:t>
            </w:r>
          </w:p>
        </w:tc>
        <w:tc>
          <w:tcPr>
            <w:tcW w:w="1152" w:type="dxa"/>
            <w:tcBorders>
              <w:top w:val="nil"/>
              <w:left w:val="nil"/>
              <w:bottom w:val="single" w:color="000000" w:sz="4" w:space="0"/>
              <w:right w:val="single" w:color="000000" w:sz="4" w:space="0"/>
            </w:tcBorders>
            <w:noWrap w:val="0"/>
            <w:vAlign w:val="center"/>
          </w:tcPr>
          <w:p>
            <w:pP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bidi="ar"/>
              </w:rPr>
              <w:t>600165.86</w:t>
            </w:r>
            <w:r>
              <w:rPr>
                <w:rFonts w:hint="eastAsia" w:ascii="宋体" w:hAnsi="宋体" w:eastAsia="宋体" w:cs="宋体"/>
                <w:color w:val="000000"/>
                <w:sz w:val="18"/>
                <w:szCs w:val="18"/>
                <w:highlight w:val="none"/>
                <w:lang w:bidi="ar"/>
              </w:rPr>
              <w:t xml:space="preserve"> </w:t>
            </w:r>
          </w:p>
        </w:tc>
        <w:tc>
          <w:tcPr>
            <w:tcW w:w="98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5536.00</w:t>
            </w:r>
          </w:p>
        </w:tc>
        <w:tc>
          <w:tcPr>
            <w:tcW w:w="1054"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14137.06</w:t>
            </w:r>
          </w:p>
        </w:tc>
        <w:tc>
          <w:tcPr>
            <w:tcW w:w="948"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8770.43</w:t>
            </w:r>
          </w:p>
        </w:tc>
        <w:tc>
          <w:tcPr>
            <w:tcW w:w="1050" w:type="dxa"/>
            <w:tcBorders>
              <w:top w:val="single" w:color="000000" w:sz="4" w:space="0"/>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175654.19</w:t>
            </w:r>
          </w:p>
        </w:tc>
        <w:tc>
          <w:tcPr>
            <w:tcW w:w="1152" w:type="dxa"/>
            <w:tcBorders>
              <w:top w:val="nil"/>
              <w:left w:val="nil"/>
              <w:bottom w:val="single" w:color="000000" w:sz="4" w:space="0"/>
              <w:right w:val="single" w:color="000000" w:sz="4" w:space="0"/>
            </w:tcBorders>
            <w:noWrap w:val="0"/>
            <w:vAlign w:val="center"/>
          </w:tcPr>
          <w:p>
            <w:pP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bidi="ar-SA"/>
              </w:rPr>
              <w:t>142478.00</w:t>
            </w:r>
          </w:p>
        </w:tc>
        <w:tc>
          <w:tcPr>
            <w:tcW w:w="1150" w:type="dxa"/>
            <w:tcBorders>
              <w:top w:val="nil"/>
              <w:left w:val="nil"/>
              <w:bottom w:val="single" w:color="000000" w:sz="4" w:space="0"/>
              <w:right w:val="single" w:color="000000" w:sz="4" w:space="0"/>
            </w:tcBorders>
            <w:noWrap w:val="0"/>
            <w:vAlign w:val="center"/>
          </w:tcPr>
          <w:p>
            <w:pP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bidi="ar"/>
              </w:rPr>
              <w:t>946741.54</w:t>
            </w:r>
          </w:p>
        </w:tc>
      </w:tr>
      <w:tr>
        <w:tblPrEx>
          <w:tblCellMar>
            <w:top w:w="0" w:type="dxa"/>
            <w:left w:w="108" w:type="dxa"/>
            <w:bottom w:w="0" w:type="dxa"/>
            <w:right w:w="108" w:type="dxa"/>
          </w:tblCellMar>
        </w:tblPrEx>
        <w:trPr>
          <w:trHeight w:val="591" w:hRule="atLeast"/>
        </w:trPr>
        <w:tc>
          <w:tcPr>
            <w:tcW w:w="446"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595"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983" w:type="dxa"/>
            <w:tcBorders>
              <w:top w:val="nil"/>
              <w:left w:val="nil"/>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1、绿地</w:t>
            </w:r>
          </w:p>
        </w:tc>
        <w:tc>
          <w:tcPr>
            <w:tcW w:w="44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w:t>
            </w:r>
          </w:p>
        </w:tc>
        <w:tc>
          <w:tcPr>
            <w:tcW w:w="1152" w:type="dxa"/>
            <w:tcBorders>
              <w:top w:val="nil"/>
              <w:left w:val="nil"/>
              <w:bottom w:val="single" w:color="000000" w:sz="4" w:space="0"/>
              <w:right w:val="single" w:color="000000" w:sz="4" w:space="0"/>
            </w:tcBorders>
            <w:noWrap w:val="0"/>
            <w:vAlign w:val="center"/>
          </w:tcPr>
          <w:p>
            <w:pP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bidi="ar"/>
              </w:rPr>
              <w:t>569445.30</w:t>
            </w:r>
            <w:r>
              <w:rPr>
                <w:rFonts w:hint="eastAsia" w:ascii="宋体" w:hAnsi="宋体" w:eastAsia="宋体" w:cs="宋体"/>
                <w:color w:val="000000"/>
                <w:sz w:val="18"/>
                <w:szCs w:val="18"/>
                <w:highlight w:val="none"/>
                <w:lang w:bidi="ar"/>
              </w:rPr>
              <w:t xml:space="preserve"> </w:t>
            </w:r>
          </w:p>
        </w:tc>
        <w:tc>
          <w:tcPr>
            <w:tcW w:w="98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5536.00</w:t>
            </w:r>
          </w:p>
        </w:tc>
        <w:tc>
          <w:tcPr>
            <w:tcW w:w="1054"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14137.06</w:t>
            </w:r>
          </w:p>
        </w:tc>
        <w:tc>
          <w:tcPr>
            <w:tcW w:w="948"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8770.43</w:t>
            </w:r>
          </w:p>
        </w:tc>
        <w:tc>
          <w:tcPr>
            <w:tcW w:w="1050"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172821.09</w:t>
            </w:r>
          </w:p>
        </w:tc>
        <w:tc>
          <w:tcPr>
            <w:tcW w:w="1152" w:type="dxa"/>
            <w:tcBorders>
              <w:top w:val="nil"/>
              <w:left w:val="nil"/>
              <w:bottom w:val="single" w:color="000000" w:sz="4" w:space="0"/>
              <w:right w:val="single" w:color="000000" w:sz="4" w:space="0"/>
            </w:tcBorders>
            <w:noWrap w:val="0"/>
            <w:vAlign w:val="center"/>
          </w:tcPr>
          <w:p>
            <w:pP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bidi="ar-SA"/>
              </w:rPr>
              <w:t>142478.00</w:t>
            </w:r>
          </w:p>
        </w:tc>
        <w:tc>
          <w:tcPr>
            <w:tcW w:w="1150" w:type="dxa"/>
            <w:tcBorders>
              <w:top w:val="nil"/>
              <w:left w:val="nil"/>
              <w:bottom w:val="single" w:color="000000" w:sz="4" w:space="0"/>
              <w:right w:val="single" w:color="000000" w:sz="4" w:space="0"/>
            </w:tcBorders>
            <w:noWrap w:val="0"/>
            <w:vAlign w:val="center"/>
          </w:tcPr>
          <w:p>
            <w:pP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bidi="ar"/>
              </w:rPr>
              <w:t>916020.98</w:t>
            </w:r>
          </w:p>
        </w:tc>
      </w:tr>
      <w:tr>
        <w:tblPrEx>
          <w:tblCellMar>
            <w:top w:w="0" w:type="dxa"/>
            <w:left w:w="108" w:type="dxa"/>
            <w:bottom w:w="0" w:type="dxa"/>
            <w:right w:w="108" w:type="dxa"/>
          </w:tblCellMar>
        </w:tblPrEx>
        <w:trPr>
          <w:trHeight w:val="330" w:hRule="atLeast"/>
        </w:trPr>
        <w:tc>
          <w:tcPr>
            <w:tcW w:w="446"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595"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983" w:type="dxa"/>
            <w:tcBorders>
              <w:top w:val="nil"/>
              <w:left w:val="nil"/>
              <w:bottom w:val="nil"/>
              <w:right w:val="single" w:color="000000"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2</w:t>
            </w:r>
            <w:r>
              <w:rPr>
                <w:rFonts w:hint="eastAsia" w:ascii="宋体" w:hAnsi="宋体" w:eastAsia="宋体" w:cs="宋体"/>
                <w:color w:val="000000"/>
                <w:sz w:val="18"/>
                <w:szCs w:val="18"/>
                <w:highlight w:val="none"/>
              </w:rPr>
              <w:t>、水体</w:t>
            </w:r>
          </w:p>
        </w:tc>
        <w:tc>
          <w:tcPr>
            <w:tcW w:w="44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w:t>
            </w:r>
          </w:p>
        </w:tc>
        <w:tc>
          <w:tcPr>
            <w:tcW w:w="1152"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30720.56</w:t>
            </w:r>
          </w:p>
        </w:tc>
        <w:tc>
          <w:tcPr>
            <w:tcW w:w="98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054"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948"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050"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152"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150"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30720.56</w:t>
            </w:r>
          </w:p>
        </w:tc>
      </w:tr>
      <w:tr>
        <w:tblPrEx>
          <w:tblCellMar>
            <w:top w:w="0" w:type="dxa"/>
            <w:left w:w="108" w:type="dxa"/>
            <w:bottom w:w="0" w:type="dxa"/>
            <w:right w:w="108" w:type="dxa"/>
          </w:tblCellMar>
        </w:tblPrEx>
        <w:trPr>
          <w:trHeight w:val="390" w:hRule="atLeast"/>
        </w:trPr>
        <w:tc>
          <w:tcPr>
            <w:tcW w:w="446" w:type="dxa"/>
            <w:vMerge w:val="restart"/>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二</w:t>
            </w:r>
          </w:p>
        </w:tc>
        <w:tc>
          <w:tcPr>
            <w:tcW w:w="595" w:type="dxa"/>
            <w:vMerge w:val="restart"/>
            <w:tcBorders>
              <w:top w:val="single" w:color="auto" w:sz="4" w:space="0"/>
              <w:left w:val="single" w:color="auto" w:sz="4" w:space="0"/>
              <w:bottom w:val="single" w:color="auto" w:sz="4" w:space="0"/>
              <w:right w:val="single" w:color="auto"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环境卫生</w:t>
            </w:r>
          </w:p>
        </w:tc>
        <w:tc>
          <w:tcPr>
            <w:tcW w:w="983" w:type="dxa"/>
            <w:tcBorders>
              <w:top w:val="single" w:color="auto" w:sz="4" w:space="0"/>
              <w:left w:val="nil"/>
              <w:bottom w:val="single" w:color="auto" w:sz="4" w:space="0"/>
              <w:right w:val="single" w:color="auto"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水域保洁</w:t>
            </w:r>
          </w:p>
        </w:tc>
        <w:tc>
          <w:tcPr>
            <w:tcW w:w="44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m</w:t>
            </w:r>
          </w:p>
        </w:tc>
        <w:tc>
          <w:tcPr>
            <w:tcW w:w="1152" w:type="dxa"/>
            <w:tcBorders>
              <w:top w:val="nil"/>
              <w:left w:val="nil"/>
              <w:bottom w:val="nil"/>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1760.11</w:t>
            </w:r>
          </w:p>
        </w:tc>
        <w:tc>
          <w:tcPr>
            <w:tcW w:w="98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054"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0.00</w:t>
            </w:r>
          </w:p>
        </w:tc>
        <w:tc>
          <w:tcPr>
            <w:tcW w:w="948"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050"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152"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150"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1760.11</w:t>
            </w:r>
          </w:p>
        </w:tc>
      </w:tr>
      <w:tr>
        <w:tblPrEx>
          <w:tblCellMar>
            <w:top w:w="0" w:type="dxa"/>
            <w:left w:w="108" w:type="dxa"/>
            <w:bottom w:w="0" w:type="dxa"/>
            <w:right w:w="108" w:type="dxa"/>
          </w:tblCellMar>
        </w:tblPrEx>
        <w:trPr>
          <w:trHeight w:val="420" w:hRule="atLeast"/>
        </w:trPr>
        <w:tc>
          <w:tcPr>
            <w:tcW w:w="446"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0"/>
                <w:sz w:val="18"/>
                <w:szCs w:val="18"/>
                <w:highlight w:val="none"/>
              </w:rPr>
            </w:pPr>
          </w:p>
        </w:tc>
        <w:tc>
          <w:tcPr>
            <w:tcW w:w="59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0"/>
                <w:sz w:val="18"/>
                <w:szCs w:val="18"/>
                <w:highlight w:val="none"/>
              </w:rPr>
            </w:pPr>
          </w:p>
        </w:tc>
        <w:tc>
          <w:tcPr>
            <w:tcW w:w="983" w:type="dxa"/>
            <w:tcBorders>
              <w:top w:val="nil"/>
              <w:left w:val="nil"/>
              <w:bottom w:val="single" w:color="auto" w:sz="4" w:space="0"/>
              <w:right w:val="single" w:color="auto"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eastAsia="zh-CN"/>
              </w:rPr>
              <w:t>硬底化</w:t>
            </w:r>
          </w:p>
        </w:tc>
        <w:tc>
          <w:tcPr>
            <w:tcW w:w="446" w:type="dxa"/>
            <w:tcBorders>
              <w:top w:val="nil"/>
              <w:left w:val="nil"/>
              <w:bottom w:val="single" w:color="000000" w:sz="4" w:space="0"/>
              <w:right w:val="nil"/>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w:t>
            </w:r>
          </w:p>
        </w:tc>
        <w:tc>
          <w:tcPr>
            <w:tcW w:w="1152" w:type="dxa"/>
            <w:tcBorders>
              <w:top w:val="single" w:color="auto" w:sz="4" w:space="0"/>
              <w:left w:val="single" w:color="auto" w:sz="4" w:space="0"/>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33050.89</w:t>
            </w:r>
          </w:p>
        </w:tc>
        <w:tc>
          <w:tcPr>
            <w:tcW w:w="986"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7144.06</w:t>
            </w:r>
          </w:p>
        </w:tc>
        <w:tc>
          <w:tcPr>
            <w:tcW w:w="1054"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6411.21</w:t>
            </w:r>
          </w:p>
        </w:tc>
        <w:tc>
          <w:tcPr>
            <w:tcW w:w="948"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3322.89</w:t>
            </w:r>
          </w:p>
        </w:tc>
        <w:tc>
          <w:tcPr>
            <w:tcW w:w="10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0.00</w:t>
            </w:r>
          </w:p>
        </w:tc>
        <w:tc>
          <w:tcPr>
            <w:tcW w:w="1152"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0.00</w:t>
            </w:r>
          </w:p>
        </w:tc>
        <w:tc>
          <w:tcPr>
            <w:tcW w:w="11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49929.05</w:t>
            </w:r>
          </w:p>
        </w:tc>
      </w:tr>
      <w:tr>
        <w:tblPrEx>
          <w:tblCellMar>
            <w:top w:w="0" w:type="dxa"/>
            <w:left w:w="108" w:type="dxa"/>
            <w:bottom w:w="0" w:type="dxa"/>
            <w:right w:w="108" w:type="dxa"/>
          </w:tblCellMar>
        </w:tblPrEx>
        <w:trPr>
          <w:trHeight w:val="330" w:hRule="atLeast"/>
        </w:trPr>
        <w:tc>
          <w:tcPr>
            <w:tcW w:w="446" w:type="dxa"/>
            <w:vMerge w:val="restart"/>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三</w:t>
            </w:r>
          </w:p>
        </w:tc>
        <w:tc>
          <w:tcPr>
            <w:tcW w:w="595" w:type="dxa"/>
            <w:vMerge w:val="restart"/>
            <w:tcBorders>
              <w:top w:val="single" w:color="auto" w:sz="4" w:space="0"/>
              <w:left w:val="single" w:color="auto" w:sz="4" w:space="0"/>
              <w:bottom w:val="single" w:color="auto" w:sz="4" w:space="0"/>
              <w:right w:val="single" w:color="auto"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园建管理</w:t>
            </w:r>
          </w:p>
        </w:tc>
        <w:tc>
          <w:tcPr>
            <w:tcW w:w="983" w:type="dxa"/>
            <w:tcBorders>
              <w:top w:val="nil"/>
              <w:left w:val="nil"/>
              <w:bottom w:val="single" w:color="auto" w:sz="4" w:space="0"/>
              <w:right w:val="single" w:color="auto"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建筑</w:t>
            </w:r>
          </w:p>
        </w:tc>
        <w:tc>
          <w:tcPr>
            <w:tcW w:w="44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sz w:val="18"/>
                <w:szCs w:val="18"/>
                <w:highlight w:val="none"/>
              </w:rPr>
              <w:t>座</w:t>
            </w:r>
          </w:p>
        </w:tc>
        <w:tc>
          <w:tcPr>
            <w:tcW w:w="1152"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sz w:val="18"/>
                <w:szCs w:val="18"/>
                <w:highlight w:val="none"/>
              </w:rPr>
              <w:t>2</w:t>
            </w:r>
          </w:p>
        </w:tc>
        <w:tc>
          <w:tcPr>
            <w:tcW w:w="98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054"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1</w:t>
            </w:r>
          </w:p>
        </w:tc>
        <w:tc>
          <w:tcPr>
            <w:tcW w:w="948"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050"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152"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bidi="ar-SA"/>
              </w:rPr>
              <w:t>0</w:t>
            </w:r>
          </w:p>
        </w:tc>
        <w:tc>
          <w:tcPr>
            <w:tcW w:w="1150"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3</w:t>
            </w:r>
          </w:p>
        </w:tc>
      </w:tr>
      <w:tr>
        <w:tblPrEx>
          <w:tblCellMar>
            <w:top w:w="0" w:type="dxa"/>
            <w:left w:w="108" w:type="dxa"/>
            <w:bottom w:w="0" w:type="dxa"/>
            <w:right w:w="108" w:type="dxa"/>
          </w:tblCellMar>
        </w:tblPrEx>
        <w:trPr>
          <w:trHeight w:val="360" w:hRule="atLeast"/>
        </w:trPr>
        <w:tc>
          <w:tcPr>
            <w:tcW w:w="446"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595"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983" w:type="dxa"/>
            <w:tcBorders>
              <w:top w:val="nil"/>
              <w:left w:val="nil"/>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园建小品</w:t>
            </w:r>
          </w:p>
        </w:tc>
        <w:tc>
          <w:tcPr>
            <w:tcW w:w="44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组</w:t>
            </w:r>
          </w:p>
        </w:tc>
        <w:tc>
          <w:tcPr>
            <w:tcW w:w="1152"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145</w:t>
            </w:r>
          </w:p>
        </w:tc>
        <w:tc>
          <w:tcPr>
            <w:tcW w:w="986"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16</w:t>
            </w:r>
          </w:p>
        </w:tc>
        <w:tc>
          <w:tcPr>
            <w:tcW w:w="1054"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6</w:t>
            </w:r>
          </w:p>
        </w:tc>
        <w:tc>
          <w:tcPr>
            <w:tcW w:w="948"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6</w:t>
            </w:r>
          </w:p>
        </w:tc>
        <w:tc>
          <w:tcPr>
            <w:tcW w:w="10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152"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bidi="ar-SA"/>
              </w:rPr>
              <w:t>0</w:t>
            </w:r>
          </w:p>
        </w:tc>
        <w:tc>
          <w:tcPr>
            <w:tcW w:w="11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173</w:t>
            </w:r>
          </w:p>
        </w:tc>
      </w:tr>
      <w:tr>
        <w:tblPrEx>
          <w:tblCellMar>
            <w:top w:w="0" w:type="dxa"/>
            <w:left w:w="108" w:type="dxa"/>
            <w:bottom w:w="0" w:type="dxa"/>
            <w:right w:w="108" w:type="dxa"/>
          </w:tblCellMar>
        </w:tblPrEx>
        <w:trPr>
          <w:trHeight w:val="360" w:hRule="atLeast"/>
        </w:trPr>
        <w:tc>
          <w:tcPr>
            <w:tcW w:w="446" w:type="dxa"/>
            <w:vMerge w:val="continue"/>
            <w:tcBorders>
              <w:top w:val="nil"/>
              <w:left w:val="single" w:color="000000" w:sz="4" w:space="0"/>
              <w:bottom w:val="single" w:color="000000" w:sz="4" w:space="0"/>
              <w:right w:val="single" w:color="000000" w:sz="4" w:space="0"/>
            </w:tcBorders>
            <w:noWrap w:val="0"/>
            <w:vAlign w:val="center"/>
          </w:tcPr>
          <w:p>
            <w:pPr>
              <w:rPr>
                <w:rFonts w:hint="eastAsia" w:ascii="宋体" w:hAnsi="宋体" w:eastAsia="宋体" w:cs="宋体"/>
                <w:color w:val="auto"/>
                <w:kern w:val="0"/>
                <w:sz w:val="18"/>
                <w:szCs w:val="18"/>
                <w:highlight w:val="none"/>
              </w:rPr>
            </w:pPr>
          </w:p>
        </w:tc>
        <w:tc>
          <w:tcPr>
            <w:tcW w:w="595" w:type="dxa"/>
            <w:tcBorders>
              <w:top w:val="nil"/>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18"/>
                <w:szCs w:val="18"/>
                <w:highlight w:val="none"/>
              </w:rPr>
            </w:pPr>
            <w:r>
              <w:rPr>
                <w:rFonts w:hint="eastAsia" w:ascii="宋体" w:hAnsi="宋体" w:eastAsia="宋体" w:cs="宋体"/>
                <w:color w:val="000000"/>
                <w:sz w:val="18"/>
                <w:szCs w:val="18"/>
                <w:highlight w:val="none"/>
              </w:rPr>
              <w:t>其他日常</w:t>
            </w:r>
          </w:p>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维护</w:t>
            </w:r>
          </w:p>
        </w:tc>
        <w:tc>
          <w:tcPr>
            <w:tcW w:w="983" w:type="dxa"/>
            <w:tcBorders>
              <w:top w:val="nil"/>
              <w:left w:val="nil"/>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eastAsia="zh-CN"/>
              </w:rPr>
              <w:t>庭院灯</w:t>
            </w:r>
          </w:p>
        </w:tc>
        <w:tc>
          <w:tcPr>
            <w:tcW w:w="44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eastAsia="zh-CN"/>
              </w:rPr>
              <w:t>盏</w:t>
            </w:r>
          </w:p>
        </w:tc>
        <w:tc>
          <w:tcPr>
            <w:tcW w:w="1152"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325</w:t>
            </w:r>
          </w:p>
        </w:tc>
        <w:tc>
          <w:tcPr>
            <w:tcW w:w="986"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92</w:t>
            </w:r>
          </w:p>
        </w:tc>
        <w:tc>
          <w:tcPr>
            <w:tcW w:w="1054"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67</w:t>
            </w:r>
          </w:p>
        </w:tc>
        <w:tc>
          <w:tcPr>
            <w:tcW w:w="948"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32</w:t>
            </w:r>
          </w:p>
        </w:tc>
        <w:tc>
          <w:tcPr>
            <w:tcW w:w="10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0</w:t>
            </w:r>
          </w:p>
        </w:tc>
        <w:tc>
          <w:tcPr>
            <w:tcW w:w="1152"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0</w:t>
            </w:r>
          </w:p>
        </w:tc>
        <w:tc>
          <w:tcPr>
            <w:tcW w:w="11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516</w:t>
            </w:r>
          </w:p>
        </w:tc>
      </w:tr>
      <w:tr>
        <w:tblPrEx>
          <w:tblCellMar>
            <w:top w:w="0" w:type="dxa"/>
            <w:left w:w="108" w:type="dxa"/>
            <w:bottom w:w="0" w:type="dxa"/>
            <w:right w:w="108" w:type="dxa"/>
          </w:tblCellMar>
        </w:tblPrEx>
        <w:trPr>
          <w:trHeight w:val="375" w:hRule="atLeast"/>
        </w:trPr>
        <w:tc>
          <w:tcPr>
            <w:tcW w:w="446" w:type="dxa"/>
            <w:tcBorders>
              <w:top w:val="nil"/>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auto"/>
                <w:kern w:val="0"/>
                <w:sz w:val="18"/>
                <w:szCs w:val="18"/>
                <w:highlight w:val="none"/>
              </w:rPr>
            </w:pPr>
            <w:r>
              <w:rPr>
                <w:rFonts w:hint="eastAsia" w:ascii="宋体" w:hAnsi="宋体" w:eastAsia="宋体" w:cs="宋体"/>
                <w:sz w:val="18"/>
                <w:szCs w:val="18"/>
                <w:highlight w:val="none"/>
                <w:lang w:eastAsia="zh-CN"/>
              </w:rPr>
              <w:t>四</w:t>
            </w:r>
          </w:p>
        </w:tc>
        <w:tc>
          <w:tcPr>
            <w:tcW w:w="1578" w:type="dxa"/>
            <w:gridSpan w:val="2"/>
            <w:tcBorders>
              <w:top w:val="nil"/>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eastAsia="zh-CN"/>
              </w:rPr>
              <w:t>高速出入口导流岛时花</w:t>
            </w:r>
          </w:p>
        </w:tc>
        <w:tc>
          <w:tcPr>
            <w:tcW w:w="446" w:type="dxa"/>
            <w:tcBorders>
              <w:top w:val="nil"/>
              <w:left w:val="nil"/>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w:t>
            </w:r>
          </w:p>
        </w:tc>
        <w:tc>
          <w:tcPr>
            <w:tcW w:w="1152"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986"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054"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0</w:t>
            </w:r>
          </w:p>
        </w:tc>
        <w:tc>
          <w:tcPr>
            <w:tcW w:w="948"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0</w:t>
            </w:r>
          </w:p>
        </w:tc>
        <w:tc>
          <w:tcPr>
            <w:tcW w:w="10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0</w:t>
            </w:r>
          </w:p>
        </w:tc>
        <w:tc>
          <w:tcPr>
            <w:tcW w:w="1152"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rPr>
              <w:t>0</w:t>
            </w:r>
          </w:p>
        </w:tc>
        <w:tc>
          <w:tcPr>
            <w:tcW w:w="1150" w:type="dxa"/>
            <w:tcBorders>
              <w:top w:val="nil"/>
              <w:left w:val="nil"/>
              <w:bottom w:val="single" w:color="auto" w:sz="4" w:space="0"/>
              <w:right w:val="single" w:color="auto" w:sz="4" w:space="0"/>
            </w:tcBorders>
            <w:noWrap/>
            <w:vAlign w:val="center"/>
          </w:tcPr>
          <w:p>
            <w:pPr>
              <w:autoSpaceDN w:val="0"/>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000000"/>
                <w:sz w:val="18"/>
                <w:szCs w:val="18"/>
                <w:highlight w:val="none"/>
                <w:lang w:val="en-US" w:eastAsia="zh-CN"/>
              </w:rPr>
              <w:t>381</w:t>
            </w:r>
          </w:p>
        </w:tc>
      </w:tr>
    </w:tbl>
    <w:p>
      <w:pPr>
        <w:pStyle w:val="5"/>
        <w:numPr>
          <w:ilvl w:val="0"/>
          <w:numId w:val="0"/>
        </w:numPr>
        <w:tabs>
          <w:tab w:val="left" w:pos="540"/>
        </w:tabs>
        <w:autoSpaceDE/>
        <w:autoSpaceDN/>
        <w:snapToGrid w:val="0"/>
        <w:spacing w:line="360" w:lineRule="auto"/>
        <w:ind w:left="420" w:leftChars="0" w:hanging="420" w:firstLineChars="0"/>
        <w:jc w:val="both"/>
        <w:rPr>
          <w:rFonts w:hint="eastAsia" w:ascii="宋体" w:hAnsi="宋体" w:eastAsia="宋体" w:cs="宋体"/>
          <w:b/>
          <w:bCs/>
          <w:color w:val="auto"/>
          <w:sz w:val="21"/>
          <w:szCs w:val="21"/>
          <w:highlight w:val="none"/>
          <w:lang w:eastAsia="zh-CN"/>
        </w:rPr>
      </w:pPr>
    </w:p>
    <w:p>
      <w:pPr>
        <w:pStyle w:val="5"/>
        <w:numPr>
          <w:ilvl w:val="0"/>
          <w:numId w:val="0"/>
        </w:numPr>
        <w:tabs>
          <w:tab w:val="left" w:pos="540"/>
        </w:tabs>
        <w:autoSpaceDE/>
        <w:autoSpaceDN/>
        <w:snapToGrid w:val="0"/>
        <w:spacing w:line="360" w:lineRule="auto"/>
        <w:ind w:left="420" w:leftChars="0" w:hanging="420" w:firstLineChars="0"/>
        <w:jc w:val="both"/>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作业要求</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作业设备及人员配置要求</w:t>
      </w:r>
      <w:r>
        <w:rPr>
          <w:rFonts w:hint="eastAsia" w:ascii="宋体" w:hAnsi="宋体" w:eastAsia="宋体" w:cs="宋体"/>
          <w:color w:val="auto"/>
          <w:sz w:val="21"/>
          <w:szCs w:val="21"/>
          <w:highlight w:val="none"/>
        </w:rPr>
        <w:t>（具体见项目组织机构关键人员和作业设备要求）</w:t>
      </w:r>
    </w:p>
    <w:p>
      <w:pPr>
        <w:widowControl/>
        <w:numPr>
          <w:ilvl w:val="0"/>
          <w:numId w:val="0"/>
        </w:numPr>
        <w:spacing w:line="360" w:lineRule="auto"/>
        <w:ind w:left="360" w:leftChars="0" w:hanging="36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lang w:val="en-US" w:eastAsia="zh-CN"/>
        </w:rPr>
        <w:t>（1）</w:t>
      </w:r>
      <w:r>
        <w:rPr>
          <w:rFonts w:hint="eastAsia" w:ascii="宋体" w:hAnsi="宋体" w:eastAsia="宋体" w:cs="宋体"/>
          <w:color w:val="auto"/>
          <w:sz w:val="21"/>
          <w:szCs w:val="21"/>
          <w:highlight w:val="none"/>
        </w:rPr>
        <w:t>作业设备：</w:t>
      </w:r>
    </w:p>
    <w:tbl>
      <w:tblPr>
        <w:tblStyle w:val="1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4"/>
        <w:gridCol w:w="5288"/>
        <w:gridCol w:w="1399"/>
        <w:gridCol w:w="17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6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序号</w:t>
            </w:r>
          </w:p>
        </w:tc>
        <w:tc>
          <w:tcPr>
            <w:tcW w:w="5288" w:type="dxa"/>
            <w:tcBorders>
              <w:top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设备名称</w:t>
            </w:r>
          </w:p>
        </w:tc>
        <w:tc>
          <w:tcPr>
            <w:tcW w:w="1399" w:type="dxa"/>
            <w:tcBorders>
              <w:top w:val="single" w:color="000000" w:sz="4" w:space="0"/>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数量</w:t>
            </w:r>
          </w:p>
        </w:tc>
        <w:tc>
          <w:tcPr>
            <w:tcW w:w="1737" w:type="dxa"/>
            <w:tcBorders>
              <w:top w:val="single" w:color="000000" w:sz="4" w:space="0"/>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规格型号参数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高空作业车</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臂长14M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2</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绿化用洒水车</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3</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lang w:val="en-US" w:eastAsia="zh-CN"/>
              </w:rPr>
              <w:t>12</w:t>
            </w:r>
            <w:r>
              <w:rPr>
                <w:rFonts w:hint="eastAsia" w:ascii="宋体" w:hAnsi="宋体" w:eastAsia="宋体" w:cs="宋体"/>
                <w:color w:val="000000"/>
                <w:highlight w:val="none"/>
              </w:rPr>
              <w:t>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3</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吊车</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16T（或以上）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4</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压缩式垃圾车</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7T以上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5</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疏草机</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2</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6</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剪草机</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15</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7</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修边机</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6</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8</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高压手推式打药机</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5</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9</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打孔机</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5</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10</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绿篱机</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8</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864" w:type="dxa"/>
            <w:tcBorders>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11</w:t>
            </w:r>
          </w:p>
        </w:tc>
        <w:tc>
          <w:tcPr>
            <w:tcW w:w="5288" w:type="dxa"/>
            <w:tcBorders>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油锯</w:t>
            </w:r>
          </w:p>
        </w:tc>
        <w:tc>
          <w:tcPr>
            <w:tcW w:w="1399" w:type="dxa"/>
            <w:tcBorders>
              <w:bottom w:val="single" w:color="000000"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2</w:t>
            </w:r>
          </w:p>
        </w:tc>
        <w:tc>
          <w:tcPr>
            <w:tcW w:w="173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64" w:type="dxa"/>
            <w:tcBorders>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12</w:t>
            </w:r>
          </w:p>
        </w:tc>
        <w:tc>
          <w:tcPr>
            <w:tcW w:w="5288" w:type="dxa"/>
            <w:tcBorders>
              <w:bottom w:val="single" w:color="auto"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巡查车（管理专用车）</w:t>
            </w:r>
          </w:p>
        </w:tc>
        <w:tc>
          <w:tcPr>
            <w:tcW w:w="1399" w:type="dxa"/>
            <w:tcBorders>
              <w:bottom w:val="single" w:color="auto"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rPr>
              <w:t>1</w:t>
            </w:r>
          </w:p>
        </w:tc>
        <w:tc>
          <w:tcPr>
            <w:tcW w:w="1737" w:type="dxa"/>
            <w:tcBorders>
              <w:left w:val="single" w:color="auto" w:sz="4" w:space="0"/>
              <w:bottom w:val="single" w:color="auto"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864" w:type="dxa"/>
            <w:tcBorders>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lang w:val="en-US" w:eastAsia="zh-CN"/>
              </w:rPr>
            </w:pPr>
            <w:r>
              <w:rPr>
                <w:rFonts w:hint="eastAsia" w:ascii="宋体" w:hAnsi="宋体" w:eastAsia="宋体" w:cs="宋体"/>
                <w:color w:val="000000"/>
                <w:highlight w:val="none"/>
                <w:lang w:val="en-US" w:eastAsia="zh-CN"/>
              </w:rPr>
              <w:t>13</w:t>
            </w:r>
          </w:p>
        </w:tc>
        <w:tc>
          <w:tcPr>
            <w:tcW w:w="5288" w:type="dxa"/>
            <w:tcBorders>
              <w:bottom w:val="single" w:color="auto"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lang w:eastAsia="zh-CN"/>
              </w:rPr>
            </w:pPr>
            <w:r>
              <w:rPr>
                <w:rFonts w:hint="eastAsia" w:ascii="宋体" w:hAnsi="宋体" w:eastAsia="宋体" w:cs="宋体"/>
                <w:color w:val="000000"/>
                <w:highlight w:val="none"/>
                <w:lang w:eastAsia="zh-CN"/>
              </w:rPr>
              <w:t>垃圾投放容器</w:t>
            </w:r>
          </w:p>
        </w:tc>
        <w:tc>
          <w:tcPr>
            <w:tcW w:w="1399" w:type="dxa"/>
            <w:tcBorders>
              <w:bottom w:val="single" w:color="auto"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lang w:val="en-US" w:eastAsia="zh-CN"/>
              </w:rPr>
            </w:pPr>
            <w:r>
              <w:rPr>
                <w:rFonts w:hint="eastAsia" w:ascii="宋体" w:hAnsi="宋体" w:eastAsia="宋体" w:cs="宋体"/>
                <w:color w:val="000000"/>
                <w:highlight w:val="none"/>
                <w:lang w:val="en-US" w:eastAsia="zh-CN"/>
              </w:rPr>
              <w:t>141</w:t>
            </w:r>
          </w:p>
        </w:tc>
        <w:tc>
          <w:tcPr>
            <w:tcW w:w="1737" w:type="dxa"/>
            <w:tcBorders>
              <w:left w:val="single" w:color="auto" w:sz="4" w:space="0"/>
              <w:bottom w:val="single" w:color="auto"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lang w:eastAsia="zh-CN"/>
              </w:rPr>
            </w:pPr>
            <w:r>
              <w:rPr>
                <w:rFonts w:hint="eastAsia" w:ascii="宋体" w:hAnsi="宋体" w:eastAsia="宋体" w:cs="宋体"/>
                <w:color w:val="000000"/>
                <w:highlight w:val="none"/>
                <w:lang w:eastAsia="zh-CN"/>
              </w:rPr>
              <w:t>符合规范标准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864" w:type="dxa"/>
            <w:tcBorders>
              <w:top w:val="single" w:color="auto" w:sz="4" w:space="0"/>
              <w:left w:val="single" w:color="auto" w:sz="4" w:space="0"/>
              <w:bottom w:val="single" w:color="auto"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lang w:val="en-US" w:eastAsia="zh-CN"/>
              </w:rPr>
            </w:pPr>
            <w:r>
              <w:rPr>
                <w:rFonts w:hint="eastAsia" w:ascii="宋体" w:hAnsi="宋体" w:eastAsia="宋体" w:cs="宋体"/>
                <w:color w:val="000000"/>
                <w:highlight w:val="none"/>
                <w:lang w:val="en-US" w:eastAsia="zh-CN"/>
              </w:rPr>
              <w:t>14</w:t>
            </w:r>
          </w:p>
        </w:tc>
        <w:tc>
          <w:tcPr>
            <w:tcW w:w="5288" w:type="dxa"/>
            <w:tcBorders>
              <w:top w:val="single" w:color="auto" w:sz="4" w:space="0"/>
              <w:bottom w:val="single" w:color="auto" w:sz="4" w:space="0"/>
              <w:right w:val="single" w:color="000000" w:sz="4" w:space="0"/>
            </w:tcBorders>
            <w:noWrap w:val="0"/>
            <w:vAlign w:val="center"/>
          </w:tcPr>
          <w:p>
            <w:pPr>
              <w:autoSpaceDN w:val="0"/>
              <w:jc w:val="center"/>
              <w:textAlignment w:val="center"/>
              <w:rPr>
                <w:rFonts w:hint="eastAsia" w:ascii="宋体" w:hAnsi="宋体" w:eastAsia="宋体" w:cs="宋体"/>
                <w:color w:val="000000"/>
                <w:highlight w:val="none"/>
                <w:lang w:eastAsia="zh-CN"/>
              </w:rPr>
            </w:pPr>
            <w:r>
              <w:rPr>
                <w:rFonts w:hint="eastAsia" w:ascii="宋体" w:hAnsi="宋体" w:eastAsia="宋体" w:cs="宋体"/>
                <w:color w:val="000000"/>
                <w:highlight w:val="none"/>
                <w:lang w:eastAsia="zh-CN"/>
              </w:rPr>
              <w:t>儿童娱乐和健身设施</w:t>
            </w:r>
          </w:p>
        </w:tc>
        <w:tc>
          <w:tcPr>
            <w:tcW w:w="1399" w:type="dxa"/>
            <w:tcBorders>
              <w:top w:val="single" w:color="auto" w:sz="4" w:space="0"/>
              <w:bottom w:val="single" w:color="auto"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lang w:val="en-US" w:eastAsia="zh-CN"/>
              </w:rPr>
            </w:pPr>
            <w:r>
              <w:rPr>
                <w:rFonts w:hint="eastAsia" w:ascii="宋体" w:hAnsi="宋体" w:eastAsia="宋体" w:cs="宋体"/>
                <w:color w:val="000000"/>
                <w:highlight w:val="none"/>
                <w:lang w:val="en-US" w:eastAsia="zh-CN"/>
              </w:rPr>
              <w:t>26</w:t>
            </w:r>
          </w:p>
        </w:tc>
        <w:tc>
          <w:tcPr>
            <w:tcW w:w="1737" w:type="dxa"/>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宋体" w:hAnsi="宋体" w:eastAsia="宋体" w:cs="宋体"/>
                <w:color w:val="000000"/>
                <w:highlight w:val="none"/>
              </w:rPr>
            </w:pPr>
            <w:r>
              <w:rPr>
                <w:rFonts w:hint="eastAsia" w:ascii="宋体" w:hAnsi="宋体" w:eastAsia="宋体" w:cs="宋体"/>
                <w:color w:val="000000"/>
                <w:highlight w:val="none"/>
                <w:lang w:eastAsia="zh-CN"/>
              </w:rPr>
              <w:t>符合规范标准</w:t>
            </w:r>
          </w:p>
        </w:tc>
      </w:tr>
    </w:tbl>
    <w:p>
      <w:pPr>
        <w:widowControl/>
        <w:numPr>
          <w:ilvl w:val="0"/>
          <w:numId w:val="0"/>
        </w:numPr>
        <w:spacing w:line="360" w:lineRule="auto"/>
        <w:ind w:left="360" w:leftChars="0" w:hanging="360" w:firstLineChars="0"/>
        <w:jc w:val="left"/>
        <w:rPr>
          <w:rFonts w:hint="eastAsia" w:ascii="宋体" w:hAnsi="宋体" w:eastAsia="宋体" w:cs="宋体"/>
          <w:b/>
          <w:bCs/>
          <w:color w:val="auto"/>
          <w:sz w:val="21"/>
          <w:szCs w:val="21"/>
          <w:highlight w:val="none"/>
        </w:rPr>
      </w:pPr>
      <w:r>
        <w:rPr>
          <w:rFonts w:hint="eastAsia" w:ascii="宋体" w:hAnsi="宋体" w:eastAsia="宋体" w:cs="宋体"/>
          <w:b/>
          <w:bCs/>
          <w:color w:val="auto"/>
          <w:kern w:val="2"/>
          <w:sz w:val="21"/>
          <w:szCs w:val="21"/>
          <w:highlight w:val="none"/>
          <w:lang w:val="en-US" w:eastAsia="zh-CN"/>
        </w:rPr>
        <w:t>2、</w:t>
      </w:r>
      <w:r>
        <w:rPr>
          <w:rFonts w:hint="eastAsia" w:ascii="宋体" w:hAnsi="宋体" w:eastAsia="宋体" w:cs="宋体"/>
          <w:b/>
          <w:bCs/>
          <w:color w:val="auto"/>
          <w:sz w:val="21"/>
          <w:szCs w:val="21"/>
          <w:highlight w:val="none"/>
        </w:rPr>
        <w:t>作业要求</w:t>
      </w:r>
    </w:p>
    <w:p>
      <w:pPr>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（1）中标</w:t>
      </w:r>
      <w:r>
        <w:rPr>
          <w:rFonts w:hint="eastAsia" w:ascii="宋体" w:hAnsi="宋体" w:eastAsia="宋体" w:cs="宋体"/>
          <w:color w:val="auto"/>
          <w:sz w:val="21"/>
          <w:szCs w:val="21"/>
          <w:highlight w:val="none"/>
          <w:lang w:eastAsia="zh-CN"/>
        </w:rPr>
        <w:t>人</w:t>
      </w:r>
      <w:r>
        <w:rPr>
          <w:rFonts w:hint="eastAsia" w:ascii="宋体" w:hAnsi="宋体" w:eastAsia="宋体" w:cs="宋体"/>
          <w:color w:val="auto"/>
          <w:sz w:val="21"/>
          <w:szCs w:val="21"/>
          <w:highlight w:val="none"/>
        </w:rPr>
        <w:t>必须自行为本项目配备所要求的各项专业机械设备</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材料</w:t>
      </w:r>
      <w:r>
        <w:rPr>
          <w:rFonts w:hint="eastAsia" w:ascii="宋体" w:hAnsi="宋体" w:eastAsia="宋体" w:cs="宋体"/>
          <w:color w:val="auto"/>
          <w:sz w:val="21"/>
          <w:szCs w:val="21"/>
          <w:highlight w:val="none"/>
          <w:lang w:eastAsia="zh-CN"/>
        </w:rPr>
        <w:t>以及垃圾投放容器、儿童娱乐和健身设施（符合国家规范标准，</w:t>
      </w:r>
      <w:r>
        <w:rPr>
          <w:rFonts w:hint="eastAsia" w:ascii="宋体" w:hAnsi="宋体" w:eastAsia="宋体" w:cs="宋体"/>
          <w:color w:val="auto"/>
          <w:sz w:val="21"/>
          <w:szCs w:val="21"/>
          <w:highlight w:val="none"/>
          <w:lang w:val="en-US" w:eastAsia="zh-CN"/>
        </w:rPr>
        <w:t>外观与周围环境协调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，不限于且至少要满足上表要求，并负责对投入的设备</w:t>
      </w:r>
      <w:r>
        <w:rPr>
          <w:rFonts w:hint="eastAsia" w:ascii="宋体" w:hAnsi="宋体" w:eastAsia="宋体" w:cs="宋体"/>
          <w:color w:val="auto"/>
          <w:sz w:val="21"/>
          <w:szCs w:val="21"/>
          <w:highlight w:val="none"/>
          <w:lang w:eastAsia="zh-CN"/>
        </w:rPr>
        <w:t>设施</w:t>
      </w:r>
      <w:r>
        <w:rPr>
          <w:rFonts w:hint="eastAsia" w:ascii="宋体" w:hAnsi="宋体" w:eastAsia="宋体" w:cs="宋体"/>
          <w:color w:val="auto"/>
          <w:sz w:val="21"/>
          <w:szCs w:val="21"/>
          <w:highlight w:val="none"/>
        </w:rPr>
        <w:t>进行</w:t>
      </w:r>
      <w:r>
        <w:rPr>
          <w:rFonts w:hint="eastAsia" w:ascii="宋体" w:hAnsi="宋体" w:eastAsia="宋体" w:cs="宋体"/>
          <w:color w:val="auto"/>
          <w:sz w:val="21"/>
          <w:szCs w:val="21"/>
          <w:highlight w:val="none"/>
          <w:lang w:eastAsia="zh-CN"/>
        </w:rPr>
        <w:t>清洁维护和</w:t>
      </w:r>
      <w:r>
        <w:rPr>
          <w:rFonts w:hint="eastAsia" w:ascii="宋体" w:hAnsi="宋体" w:eastAsia="宋体" w:cs="宋体"/>
          <w:color w:val="auto"/>
          <w:sz w:val="21"/>
          <w:szCs w:val="21"/>
          <w:highlight w:val="none"/>
        </w:rPr>
        <w:t>日常保养、更换零配件。</w:t>
      </w:r>
    </w:p>
    <w:p>
      <w:pPr>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（2）投标人除高空作业车、吊车可以为租赁之外，其余设备</w:t>
      </w:r>
      <w:r>
        <w:rPr>
          <w:rFonts w:hint="eastAsia" w:ascii="宋体" w:hAnsi="宋体" w:eastAsia="宋体" w:cs="宋体"/>
          <w:color w:val="auto"/>
          <w:sz w:val="21"/>
          <w:szCs w:val="21"/>
          <w:highlight w:val="none"/>
          <w:lang w:eastAsia="zh-CN"/>
        </w:rPr>
        <w:t>参数</w:t>
      </w:r>
      <w:r>
        <w:rPr>
          <w:rFonts w:hint="eastAsia" w:ascii="宋体" w:hAnsi="宋体" w:eastAsia="宋体" w:cs="宋体"/>
          <w:color w:val="auto"/>
          <w:sz w:val="21"/>
          <w:szCs w:val="21"/>
          <w:highlight w:val="none"/>
        </w:rPr>
        <w:t>须按规格型号参数要求提供相应的发票或权属证书（发票或权属证书的单位名称须与投标人名称相符）的复印件并加盖投标人公章。如果投标人自有设备不足，视为无能力履行本项目。</w:t>
      </w:r>
    </w:p>
    <w:p>
      <w:pPr>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（3）其他作业所需的工具和劳保用品中标人自备。</w:t>
      </w:r>
    </w:p>
    <w:p>
      <w:pPr>
        <w:numPr>
          <w:ilvl w:val="0"/>
          <w:numId w:val="0"/>
        </w:numPr>
        <w:spacing w:line="360" w:lineRule="auto"/>
        <w:ind w:firstLine="420" w:firstLineChars="200"/>
        <w:rPr>
          <w:rFonts w:hint="eastAsia" w:ascii="宋体" w:hAnsi="宋体" w:eastAsia="宋体" w:cs="宋体"/>
          <w:b/>
          <w:bCs/>
          <w:color w:val="auto"/>
          <w:kern w:val="2"/>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）大型设备洒水车、压缩式垃圾车、巡查车规格型号参数以《中华人民共和国行驶证》或《</w:t>
      </w:r>
      <w:r>
        <w:rPr>
          <w:rFonts w:hint="eastAsia" w:ascii="宋体" w:hAnsi="宋体" w:eastAsia="宋体" w:cs="宋体"/>
          <w:color w:val="auto"/>
          <w:sz w:val="21"/>
          <w:szCs w:val="21"/>
          <w:highlight w:val="none"/>
          <w:lang w:eastAsia="zh-CN"/>
        </w:rPr>
        <w:t>车辆登记证</w:t>
      </w:r>
      <w:r>
        <w:rPr>
          <w:rFonts w:hint="eastAsia" w:ascii="宋体" w:hAnsi="宋体" w:eastAsia="宋体" w:cs="宋体"/>
          <w:color w:val="auto"/>
          <w:sz w:val="21"/>
          <w:szCs w:val="21"/>
          <w:highlight w:val="none"/>
        </w:rPr>
        <w:t>》等相关合法证书标示为准。高空作业车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吊车</w:t>
      </w:r>
      <w:r>
        <w:rPr>
          <w:rFonts w:hint="eastAsia" w:ascii="宋体" w:hAnsi="宋体" w:eastAsia="宋体" w:cs="宋体"/>
          <w:color w:val="auto"/>
          <w:sz w:val="21"/>
          <w:szCs w:val="21"/>
          <w:highlight w:val="none"/>
          <w:lang w:eastAsia="zh-CN"/>
        </w:rPr>
        <w:t>、垃圾投放容器、儿童娱乐和健身设施</w:t>
      </w:r>
      <w:r>
        <w:rPr>
          <w:rFonts w:hint="eastAsia" w:ascii="宋体" w:hAnsi="宋体" w:eastAsia="宋体" w:cs="宋体"/>
          <w:color w:val="auto"/>
          <w:sz w:val="21"/>
          <w:szCs w:val="21"/>
          <w:highlight w:val="none"/>
        </w:rPr>
        <w:t>需承诺在中标后配置或租赁。</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3、人员配置：</w:t>
      </w:r>
      <w:r>
        <w:rPr>
          <w:rFonts w:hint="eastAsia" w:ascii="宋体" w:hAnsi="宋体" w:eastAsia="宋体" w:cs="宋体"/>
          <w:color w:val="auto"/>
          <w:sz w:val="21"/>
          <w:szCs w:val="21"/>
          <w:highlight w:val="none"/>
        </w:rPr>
        <w:t>投标人中标以后，须配备《项目组织机构关键人员配置表》和之外的若干主要岗位人员，其中：</w:t>
      </w:r>
    </w:p>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项目组织机构关键人员配置（最少数量要求）</w:t>
      </w:r>
    </w:p>
    <w:tbl>
      <w:tblPr>
        <w:tblStyle w:val="10"/>
        <w:tblW w:w="0" w:type="auto"/>
        <w:tblInd w:w="0" w:type="dxa"/>
        <w:tblLayout w:type="fixed"/>
        <w:tblCellMar>
          <w:top w:w="0" w:type="dxa"/>
          <w:left w:w="108" w:type="dxa"/>
          <w:bottom w:w="0" w:type="dxa"/>
          <w:right w:w="108" w:type="dxa"/>
        </w:tblCellMar>
      </w:tblPr>
      <w:tblGrid>
        <w:gridCol w:w="760"/>
        <w:gridCol w:w="2532"/>
        <w:gridCol w:w="707"/>
        <w:gridCol w:w="5951"/>
      </w:tblGrid>
      <w:tr>
        <w:tblPrEx>
          <w:tblCellMar>
            <w:top w:w="0" w:type="dxa"/>
            <w:left w:w="108" w:type="dxa"/>
            <w:bottom w:w="0" w:type="dxa"/>
            <w:right w:w="108" w:type="dxa"/>
          </w:tblCellMar>
        </w:tblPrEx>
        <w:trPr>
          <w:trHeight w:val="425" w:hRule="atLeast"/>
        </w:trPr>
        <w:tc>
          <w:tcPr>
            <w:tcW w:w="760"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532" w:type="dxa"/>
            <w:tcBorders>
              <w:top w:val="single" w:color="000000" w:sz="4" w:space="0"/>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人员名称</w:t>
            </w:r>
          </w:p>
        </w:tc>
        <w:tc>
          <w:tcPr>
            <w:tcW w:w="707" w:type="dxa"/>
            <w:tcBorders>
              <w:top w:val="single" w:color="000000" w:sz="4" w:space="0"/>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人数</w:t>
            </w:r>
          </w:p>
        </w:tc>
        <w:tc>
          <w:tcPr>
            <w:tcW w:w="5951" w:type="dxa"/>
            <w:tcBorders>
              <w:top w:val="single" w:color="000000" w:sz="4" w:space="0"/>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要求</w:t>
            </w:r>
          </w:p>
        </w:tc>
      </w:tr>
      <w:tr>
        <w:tblPrEx>
          <w:tblCellMar>
            <w:top w:w="0" w:type="dxa"/>
            <w:left w:w="108" w:type="dxa"/>
            <w:bottom w:w="0" w:type="dxa"/>
            <w:right w:w="108" w:type="dxa"/>
          </w:tblCellMar>
        </w:tblPrEx>
        <w:trPr>
          <w:trHeight w:val="660" w:hRule="atLeast"/>
        </w:trPr>
        <w:tc>
          <w:tcPr>
            <w:tcW w:w="760" w:type="dxa"/>
            <w:tcBorders>
              <w:left w:val="single" w:color="000000" w:sz="4" w:space="0"/>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532" w:type="dxa"/>
            <w:tcBorders>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项目负责人</w:t>
            </w:r>
          </w:p>
        </w:tc>
        <w:tc>
          <w:tcPr>
            <w:tcW w:w="707" w:type="dxa"/>
            <w:tcBorders>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5951" w:type="dxa"/>
            <w:tcBorders>
              <w:bottom w:val="single" w:color="000000" w:sz="4" w:space="0"/>
              <w:right w:val="single" w:color="000000" w:sz="4" w:space="0"/>
            </w:tcBorders>
            <w:noWrap w:val="0"/>
            <w:vAlign w:val="center"/>
          </w:tcPr>
          <w:p>
            <w:pPr>
              <w:autoSpaceDN w:val="0"/>
              <w:spacing w:line="360" w:lineRule="auto"/>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具有园林工程师或以上职称，并持有省级或以上风景园林协会颁发的园林绿化项目负责人培训合格证书。</w:t>
            </w:r>
          </w:p>
        </w:tc>
      </w:tr>
      <w:tr>
        <w:tblPrEx>
          <w:tblCellMar>
            <w:top w:w="0" w:type="dxa"/>
            <w:left w:w="108" w:type="dxa"/>
            <w:bottom w:w="0" w:type="dxa"/>
            <w:right w:w="108" w:type="dxa"/>
          </w:tblCellMar>
        </w:tblPrEx>
        <w:trPr>
          <w:trHeight w:val="555" w:hRule="atLeast"/>
        </w:trPr>
        <w:tc>
          <w:tcPr>
            <w:tcW w:w="760" w:type="dxa"/>
            <w:tcBorders>
              <w:left w:val="single" w:color="000000" w:sz="4" w:space="0"/>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532" w:type="dxa"/>
            <w:tcBorders>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技术负责人</w:t>
            </w:r>
          </w:p>
        </w:tc>
        <w:tc>
          <w:tcPr>
            <w:tcW w:w="707" w:type="dxa"/>
            <w:tcBorders>
              <w:bottom w:val="single" w:color="000000"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5951" w:type="dxa"/>
            <w:tcBorders>
              <w:bottom w:val="single" w:color="000000" w:sz="4" w:space="0"/>
              <w:right w:val="single" w:color="000000" w:sz="4" w:space="0"/>
            </w:tcBorders>
            <w:noWrap w:val="0"/>
            <w:vAlign w:val="center"/>
          </w:tcPr>
          <w:p>
            <w:pPr>
              <w:autoSpaceDN w:val="0"/>
              <w:spacing w:line="360" w:lineRule="auto"/>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具有园林专业大专或以上、有5年或以上的相关工作经验；或具有园林专业中级或以上职称。</w:t>
            </w:r>
          </w:p>
        </w:tc>
      </w:tr>
      <w:tr>
        <w:tblPrEx>
          <w:tblCellMar>
            <w:top w:w="0" w:type="dxa"/>
            <w:left w:w="108" w:type="dxa"/>
            <w:bottom w:w="0" w:type="dxa"/>
            <w:right w:w="108" w:type="dxa"/>
          </w:tblCellMar>
        </w:tblPrEx>
        <w:trPr>
          <w:trHeight w:val="540" w:hRule="atLeast"/>
        </w:trPr>
        <w:tc>
          <w:tcPr>
            <w:tcW w:w="760" w:type="dxa"/>
            <w:tcBorders>
              <w:left w:val="single" w:color="000000" w:sz="4" w:space="0"/>
              <w:bottom w:val="single" w:color="auto"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532" w:type="dxa"/>
            <w:tcBorders>
              <w:bottom w:val="single" w:color="auto"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技术员</w:t>
            </w:r>
          </w:p>
        </w:tc>
        <w:tc>
          <w:tcPr>
            <w:tcW w:w="707" w:type="dxa"/>
            <w:tcBorders>
              <w:bottom w:val="single" w:color="auto" w:sz="4" w:space="0"/>
              <w:right w:val="single" w:color="000000"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5951" w:type="dxa"/>
            <w:tcBorders>
              <w:bottom w:val="single" w:color="auto" w:sz="4" w:space="0"/>
              <w:right w:val="single" w:color="000000" w:sz="4" w:space="0"/>
            </w:tcBorders>
            <w:noWrap w:val="0"/>
            <w:vAlign w:val="center"/>
          </w:tcPr>
          <w:p>
            <w:pPr>
              <w:autoSpaceDN w:val="0"/>
              <w:spacing w:line="360" w:lineRule="auto"/>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园林专业大专或以上、有2年或以上的相关工作经验，其中至少三人具有园林专业初级或以上职称。</w:t>
            </w:r>
          </w:p>
        </w:tc>
      </w:tr>
      <w:tr>
        <w:tblPrEx>
          <w:tblCellMar>
            <w:top w:w="0" w:type="dxa"/>
            <w:left w:w="108" w:type="dxa"/>
            <w:bottom w:w="0" w:type="dxa"/>
            <w:right w:w="108" w:type="dxa"/>
          </w:tblCellMar>
        </w:tblPrEx>
        <w:trPr>
          <w:trHeight w:val="190" w:hRule="atLeast"/>
        </w:trPr>
        <w:tc>
          <w:tcPr>
            <w:tcW w:w="760" w:type="dxa"/>
            <w:tcBorders>
              <w:top w:val="single" w:color="auto" w:sz="4" w:space="0"/>
              <w:left w:val="single" w:color="auto" w:sz="4" w:space="0"/>
              <w:bottom w:val="single" w:color="auto" w:sz="4" w:space="0"/>
              <w:right w:val="single" w:color="auto"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532" w:type="dxa"/>
            <w:tcBorders>
              <w:top w:val="single" w:color="auto" w:sz="4" w:space="0"/>
              <w:left w:val="single" w:color="auto" w:sz="4" w:space="0"/>
              <w:bottom w:val="single" w:color="auto" w:sz="4" w:space="0"/>
              <w:right w:val="single" w:color="auto"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安保员</w:t>
            </w:r>
          </w:p>
        </w:tc>
        <w:tc>
          <w:tcPr>
            <w:tcW w:w="707" w:type="dxa"/>
            <w:tcBorders>
              <w:top w:val="single" w:color="auto" w:sz="4" w:space="0"/>
              <w:left w:val="single" w:color="auto" w:sz="4" w:space="0"/>
              <w:bottom w:val="single" w:color="auto" w:sz="4" w:space="0"/>
              <w:right w:val="single" w:color="auto" w:sz="4" w:space="0"/>
            </w:tcBorders>
            <w:noWrap w:val="0"/>
            <w:vAlign w:val="center"/>
          </w:tcPr>
          <w:p>
            <w:pPr>
              <w:autoSpaceDN w:val="0"/>
              <w:spacing w:line="36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5951" w:type="dxa"/>
            <w:tcBorders>
              <w:top w:val="single" w:color="auto" w:sz="4" w:space="0"/>
              <w:left w:val="single" w:color="auto" w:sz="4" w:space="0"/>
              <w:bottom w:val="single" w:color="auto" w:sz="4" w:space="0"/>
              <w:right w:val="single" w:color="auto" w:sz="4" w:space="0"/>
            </w:tcBorders>
            <w:noWrap w:val="0"/>
            <w:vAlign w:val="center"/>
          </w:tcPr>
          <w:p>
            <w:pPr>
              <w:autoSpaceDN w:val="0"/>
              <w:spacing w:line="360" w:lineRule="auto"/>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bl>
    <w:p>
      <w:pPr>
        <w:spacing w:line="360" w:lineRule="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highlight w:val="none"/>
        </w:rPr>
        <w:t>（1）中标人的项目负责人由法定代表人授权，全权负责其中标标段综合管养作业的实施。在签订合同后的一年内，不得更换项目负责人和技术负责人；更换项目负责人和技术负责人必须书面取得采购人的同意后并报有关部门备案。更换项目负责人和技术负责人时，替代人选的资质不能低于原人选。（提供承诺书）</w:t>
      </w:r>
    </w:p>
    <w:p>
      <w:pPr>
        <w:spacing w:line="360" w:lineRule="auto"/>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（2）其他管理人员配置要求：投标人中标以后，须为其中标标段配备除以上《项目组织机构关键人员配置表》之外的若干主要岗位人员，其中包含水电工，且各岗位之间不得有兼任的情况。</w:t>
      </w:r>
      <w:r>
        <w:rPr>
          <w:rFonts w:hint="eastAsia" w:ascii="宋体" w:hAnsi="宋体" w:eastAsia="宋体" w:cs="宋体"/>
          <w:color w:val="auto"/>
          <w:sz w:val="21"/>
          <w:szCs w:val="21"/>
          <w:highlight w:val="none"/>
          <w:lang w:eastAsia="zh-CN"/>
        </w:rPr>
        <w:t>国家规定必须持证上岗的岗位工作人员，须提供有效的相关证书</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（提供承诺书）</w:t>
      </w:r>
    </w:p>
    <w:p>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现场管养作业人员配置：投标单位中标以后，须为其中标标段配备除以上《项目组织机构关键人员配置表》之外的若干主要岗位人员和其他管理人员外的现场管护技术工人，正常健康公民。按照行道树管护以800株/人计共需3人；绿地以16000㎡/人计共需59人；合计62人。</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highlight w:val="none"/>
        </w:rPr>
        <w:t>（4）在岗时间：项目负责人每月不少于10天，技术负责人每月不得少于15天，技术人员每月不得少于20天。如遇特殊情况，需向采购人报备，实行请假制度。（提供承诺书）</w:t>
      </w:r>
    </w:p>
    <w:p>
      <w:pPr>
        <w:spacing w:line="360" w:lineRule="auto"/>
        <w:rPr>
          <w:rFonts w:hint="eastAsia" w:ascii="宋体" w:hAnsi="宋体" w:eastAsia="宋体" w:cs="宋体"/>
          <w:b/>
          <w:bCs/>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b/>
          <w:bCs/>
          <w:color w:val="auto"/>
          <w:sz w:val="21"/>
          <w:szCs w:val="21"/>
          <w:highlight w:val="none"/>
          <w:lang w:val="en-US" w:eastAsia="zh-CN"/>
        </w:rPr>
        <w:t>4、质量标准要求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综合管养工作作业质量标准</w:t>
      </w:r>
      <w:r>
        <w:rPr>
          <w:rFonts w:hint="eastAsia" w:ascii="宋体" w:hAnsi="宋体" w:eastAsia="宋体" w:cs="宋体"/>
          <w:color w:val="auto"/>
          <w:sz w:val="21"/>
          <w:szCs w:val="21"/>
          <w:highlight w:val="none"/>
          <w:lang w:eastAsia="zh-CN"/>
        </w:rPr>
        <w:t>：参照广东省</w:t>
      </w:r>
      <w:r>
        <w:rPr>
          <w:rFonts w:hint="eastAsia" w:ascii="宋体" w:hAnsi="宋体" w:eastAsia="宋体" w:cs="宋体"/>
          <w:color w:val="auto"/>
          <w:sz w:val="21"/>
          <w:szCs w:val="21"/>
          <w:highlight w:val="none"/>
        </w:rPr>
        <w:t xml:space="preserve"> 《城市绿地养护质量标准》（DB44/T269-2005）、广东省《城市绿地养护技术规范》(DB44/T268-2005)</w:t>
      </w:r>
      <w:r>
        <w:rPr>
          <w:rFonts w:hint="eastAsia" w:ascii="宋体" w:hAnsi="宋体" w:eastAsia="宋体" w:cs="宋体"/>
          <w:color w:val="auto"/>
          <w:sz w:val="21"/>
          <w:szCs w:val="21"/>
          <w:highlight w:val="none"/>
          <w:lang w:eastAsia="zh-CN"/>
        </w:rPr>
        <w:t>，执行《云浮新区绿化景观综合管养质量标准》</w:t>
      </w:r>
      <w:r>
        <w:rPr>
          <w:rFonts w:hint="eastAsia" w:ascii="宋体" w:hAnsi="宋体" w:eastAsia="宋体" w:cs="宋体"/>
          <w:color w:val="auto"/>
          <w:sz w:val="21"/>
          <w:szCs w:val="21"/>
          <w:highlight w:val="none"/>
        </w:rPr>
        <w:t xml:space="preserve">。 </w:t>
      </w:r>
    </w:p>
    <w:p>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园林建筑和小品</w:t>
      </w:r>
    </w:p>
    <w:p>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)中标单位进场后需配套公园的儿童娱乐设施和体育器材（符合国家规范标准，外观与周围环境协调）并对原有的设施进行拆除更换，</w:t>
      </w:r>
      <w:r>
        <w:rPr>
          <w:rFonts w:hint="eastAsia" w:ascii="宋体" w:hAnsi="宋体" w:eastAsia="宋体" w:cs="宋体"/>
          <w:color w:val="auto"/>
          <w:sz w:val="21"/>
          <w:szCs w:val="21"/>
          <w:highlight w:val="none"/>
          <w:lang w:eastAsia="zh-CN"/>
        </w:rPr>
        <w:t>如有损坏，要及时修补，保证设施的完整美观。</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花架、亭、廊、办公楼等园林建筑应保持外观整洁和室内外墙面清洁，应及时清除其屋顶积落的枝叶、垃圾和自生的植物；如有破损，应及时维修。</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xml:space="preserve"> 对钢结构的，应及时保养，每年涂刷油漆一次，防止表面生锈；木质构件要做好防止白蚁等蛀虫的工作。</w:t>
      </w:r>
    </w:p>
    <w:p>
      <w:p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 xml:space="preserve"> </w:t>
      </w:r>
      <w:r>
        <w:rPr>
          <w:rFonts w:hint="eastAsia" w:ascii="宋体" w:hAnsi="宋体" w:eastAsia="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设施</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中标单位进场后需配套管护范围内（蝶采园、云谷、东山公园、孵化基地、宿舍小公园）的垃圾投放容器进行并对原有的垃圾投放容器进行拆除更换，</w:t>
      </w:r>
      <w:r>
        <w:rPr>
          <w:rFonts w:hint="eastAsia" w:ascii="宋体" w:hAnsi="宋体" w:eastAsia="宋体" w:cs="宋体"/>
          <w:color w:val="auto"/>
          <w:sz w:val="21"/>
          <w:szCs w:val="21"/>
          <w:highlight w:val="none"/>
          <w:lang w:eastAsia="zh-CN"/>
        </w:rPr>
        <w:t>如有损坏，要及时修补，保证设施的完整美观。</w:t>
      </w:r>
    </w:p>
    <w:p>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保护园林绿化绿地内的设施完好无损，景观效果优良。设施如有损坏，要及时修补或更换，保证设施的完整美观。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）照明设施、灯饰、导游牌、饮水与通讯设施等如有损坏、应及时修复。铁质围栏、护树架、门窗、灯杆等定期进行翻新、油漆，施工应符合GB50212-91的规定。</w:t>
      </w:r>
    </w:p>
    <w:p>
      <w:pPr>
        <w:tabs>
          <w:tab w:val="left" w:pos="5729"/>
        </w:tabs>
        <w:spacing w:line="360" w:lineRule="auto"/>
        <w:jc w:val="both"/>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6、高速路口导流岛时花</w:t>
      </w:r>
      <w:r>
        <w:rPr>
          <w:rFonts w:hint="eastAsia" w:ascii="宋体" w:hAnsi="宋体" w:eastAsia="宋体" w:cs="宋体"/>
          <w:b/>
          <w:bCs/>
          <w:color w:val="auto"/>
          <w:sz w:val="21"/>
          <w:szCs w:val="21"/>
          <w:highlight w:val="none"/>
          <w:lang w:val="en-US" w:eastAsia="zh-CN"/>
        </w:rPr>
        <w:tab/>
      </w:r>
    </w:p>
    <w:p>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选用指定应时花卉，每年更换四次（更换次数间隔根据实际或发包方要求）确保每年四季花期常开，保证植株日常管养，包含浇水、补缺、扶正、回收、缺株补植等工作。</w:t>
      </w:r>
    </w:p>
    <w:p>
      <w:pPr>
        <w:tabs>
          <w:tab w:val="left" w:pos="5729"/>
        </w:tabs>
        <w:spacing w:line="360" w:lineRule="auto"/>
        <w:jc w:val="both"/>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7、应急作业要求</w:t>
      </w:r>
    </w:p>
    <w:p>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中标人必须组织应急队伍。辖区发生突发、紧急、特殊的应急事件、重大节假日或有特殊任务和台风、水浸等意外事件及采购人有重大工作任务或突击性任务，需要紧急调配机械设备和人员投入时，中标人及其员工必须服从采购人的调遣和指挥并参与应急或加班工作，及时配合采购人提出的临时性要求，在接到采购人的通知后，中标人必须在30分钟内组织车辆设备和人员到达现场实施应急作业，按标准完成相关工作任务。但承包经费不另增加，采购人另有约定的除外。</w:t>
      </w:r>
    </w:p>
    <w:p>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（2）本项作业任务和时间不受本次采购需求书所定范围限制，中标人须无条件服从采购人的统一指挥和调动，以及另行指派的工作任务和作业范围。</w:t>
      </w:r>
    </w:p>
    <w:p>
      <w:pPr>
        <w:pStyle w:val="27"/>
        <w:spacing w:line="360" w:lineRule="auto"/>
        <w:ind w:left="0" w:leftChars="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（3）建立健全的台风、暴雨期间的值班制度，随时排除险情，将损失降至最低。</w:t>
      </w:r>
    </w:p>
    <w:p>
      <w:pPr>
        <w:tabs>
          <w:tab w:val="left" w:pos="5729"/>
        </w:tabs>
        <w:spacing w:line="360" w:lineRule="auto"/>
        <w:jc w:val="both"/>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8、人员管理</w:t>
      </w:r>
    </w:p>
    <w:p>
      <w:pPr>
        <w:pStyle w:val="27"/>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sz w:val="21"/>
          <w:szCs w:val="21"/>
          <w:highlight w:val="none"/>
        </w:rPr>
        <w:t>中标人必须按采购人规定的人数聘请有工作经验的人员。</w:t>
      </w:r>
    </w:p>
    <w:p>
      <w:pPr>
        <w:pStyle w:val="27"/>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sz w:val="21"/>
          <w:szCs w:val="21"/>
          <w:highlight w:val="none"/>
        </w:rPr>
        <w:t>中标人统一绿化工作人员服装，但服装样板须送采购人备案。</w:t>
      </w:r>
    </w:p>
    <w:p>
      <w:pPr>
        <w:pStyle w:val="27"/>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（3）</w:t>
      </w:r>
      <w:r>
        <w:rPr>
          <w:rFonts w:hint="eastAsia" w:ascii="宋体" w:hAnsi="宋体" w:eastAsia="宋体" w:cs="宋体"/>
          <w:color w:val="auto"/>
          <w:sz w:val="21"/>
          <w:szCs w:val="21"/>
          <w:highlight w:val="none"/>
        </w:rPr>
        <w:t>专业技术人员必须持证上岗，需送证照复印件加盖公章到采购人备案。</w:t>
      </w:r>
    </w:p>
    <w:p>
      <w:pPr>
        <w:pStyle w:val="27"/>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（4）</w:t>
      </w:r>
      <w:r>
        <w:rPr>
          <w:rFonts w:hint="eastAsia" w:ascii="宋体" w:hAnsi="宋体" w:eastAsia="宋体" w:cs="宋体"/>
          <w:color w:val="auto"/>
          <w:sz w:val="21"/>
          <w:szCs w:val="21"/>
          <w:highlight w:val="none"/>
        </w:rPr>
        <w:t>中标人所有工作人员每天上班必须穿着工作服。</w:t>
      </w:r>
    </w:p>
    <w:p>
      <w:pPr>
        <w:pStyle w:val="27"/>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（5）</w:t>
      </w:r>
      <w:r>
        <w:rPr>
          <w:rFonts w:hint="eastAsia" w:ascii="宋体" w:hAnsi="宋体" w:eastAsia="宋体" w:cs="宋体"/>
          <w:color w:val="auto"/>
          <w:sz w:val="21"/>
          <w:szCs w:val="21"/>
          <w:highlight w:val="none"/>
        </w:rPr>
        <w:t>中标人负责人员每天必须巡查该公司管理区域，安排好养护人员工作，并按《云浮新区园林绿化养护管理标准》执行，负责人员必须在每天7：00—22： 00 保持手机畅通；台风天气需全天开机。</w:t>
      </w:r>
    </w:p>
    <w:p>
      <w:pPr>
        <w:pStyle w:val="27"/>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（6）</w:t>
      </w:r>
      <w:r>
        <w:rPr>
          <w:rFonts w:hint="eastAsia" w:ascii="宋体" w:hAnsi="宋体" w:eastAsia="宋体" w:cs="宋体"/>
          <w:color w:val="auto"/>
          <w:sz w:val="21"/>
          <w:szCs w:val="21"/>
          <w:highlight w:val="none"/>
        </w:rPr>
        <w:t>园林绿化养护人员每天必须在自己管理区域内工作，不准参与其他标段的工作。</w:t>
      </w:r>
    </w:p>
    <w:p>
      <w:pPr>
        <w:widowControl/>
        <w:numPr>
          <w:ilvl w:val="0"/>
          <w:numId w:val="0"/>
        </w:num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 xml:space="preserve">绿化养护工作服与养护车辆须标示监督投诉电话，发动广大群众共同监督绿化管养工作。  </w:t>
      </w:r>
    </w:p>
    <w:p>
      <w:pPr>
        <w:widowControl/>
        <w:numPr>
          <w:ilvl w:val="0"/>
          <w:numId w:val="0"/>
        </w:numPr>
        <w:spacing w:line="360" w:lineRule="auto"/>
        <w:ind w:left="360" w:leftChars="0" w:hanging="360" w:firstLineChars="0"/>
        <w:jc w:val="left"/>
        <w:rPr>
          <w:rFonts w:hint="eastAsia" w:ascii="宋体" w:hAnsi="宋体" w:eastAsia="宋体" w:cs="宋体"/>
          <w:b/>
          <w:bCs/>
          <w:color w:val="auto"/>
          <w:sz w:val="21"/>
          <w:szCs w:val="21"/>
          <w:highlight w:val="none"/>
        </w:rPr>
      </w:pPr>
      <w:r>
        <w:rPr>
          <w:rFonts w:hint="eastAsia" w:ascii="宋体" w:hAnsi="宋体" w:eastAsia="宋体" w:cs="宋体"/>
          <w:b/>
          <w:bCs/>
          <w:color w:val="auto"/>
          <w:kern w:val="2"/>
          <w:sz w:val="21"/>
          <w:szCs w:val="21"/>
          <w:highlight w:val="none"/>
          <w:lang w:val="en-US" w:eastAsia="zh-CN"/>
        </w:rPr>
        <w:t>9、</w:t>
      </w:r>
      <w:r>
        <w:rPr>
          <w:rFonts w:hint="eastAsia" w:ascii="宋体" w:hAnsi="宋体" w:eastAsia="宋体" w:cs="宋体"/>
          <w:b/>
          <w:bCs/>
          <w:color w:val="auto"/>
          <w:sz w:val="21"/>
          <w:szCs w:val="21"/>
          <w:highlight w:val="none"/>
        </w:rPr>
        <w:t>机械设备管理要求</w:t>
      </w:r>
    </w:p>
    <w:p>
      <w:pPr>
        <w:pStyle w:val="27"/>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sz w:val="21"/>
          <w:szCs w:val="21"/>
          <w:highlight w:val="none"/>
        </w:rPr>
        <w:t>中标人使用的设备、车辆必须停放在有专人看守的停车场或管理场所。</w:t>
      </w:r>
    </w:p>
    <w:p>
      <w:pPr>
        <w:pStyle w:val="27"/>
        <w:numPr>
          <w:ilvl w:val="0"/>
          <w:numId w:val="0"/>
        </w:numPr>
        <w:spacing w:line="360" w:lineRule="auto"/>
        <w:ind w:left="193" w:leftChars="92" w:firstLine="193" w:firstLineChars="92"/>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sz w:val="21"/>
          <w:szCs w:val="21"/>
          <w:highlight w:val="none"/>
        </w:rPr>
        <w:t>做好设备、车辆的管理、维护、保养工作。每天作业前或作业结束后要对设备、车辆全面检查维护，并做好相关检查记录，确保设备、车辆性能良好，严禁带病作业。保持作业车辆外观美观整洁、标牌清晰。出现故障时，中标人须立即进行维修，在最短时间内修复，并配备备用设备，不得以设备损坏为理由，影响日常作业。</w:t>
      </w:r>
    </w:p>
    <w:p>
      <w:pPr>
        <w:pStyle w:val="27"/>
        <w:numPr>
          <w:ilvl w:val="0"/>
          <w:numId w:val="0"/>
        </w:numPr>
        <w:spacing w:line="360" w:lineRule="auto"/>
        <w:ind w:left="193" w:leftChars="92" w:firstLine="193" w:firstLineChars="92"/>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（3）</w:t>
      </w:r>
      <w:r>
        <w:rPr>
          <w:rFonts w:hint="eastAsia" w:ascii="宋体" w:hAnsi="宋体" w:eastAsia="宋体" w:cs="宋体"/>
          <w:color w:val="auto"/>
          <w:sz w:val="21"/>
          <w:szCs w:val="21"/>
          <w:highlight w:val="none"/>
        </w:rPr>
        <w:t>定期由符合资格的维修厂对作业车辆实施保养维护，做好保养维护台账，采购人对将对台账进行不定期检查。</w:t>
      </w:r>
    </w:p>
    <w:p>
      <w:pPr>
        <w:pStyle w:val="27"/>
        <w:numPr>
          <w:ilvl w:val="0"/>
          <w:numId w:val="0"/>
        </w:numPr>
        <w:spacing w:line="360" w:lineRule="auto"/>
        <w:ind w:left="193" w:leftChars="92" w:firstLine="193" w:firstLineChars="92"/>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（4）</w:t>
      </w:r>
      <w:r>
        <w:rPr>
          <w:rFonts w:hint="eastAsia" w:ascii="宋体" w:hAnsi="宋体" w:eastAsia="宋体" w:cs="宋体"/>
          <w:color w:val="auto"/>
          <w:sz w:val="21"/>
          <w:szCs w:val="21"/>
          <w:highlight w:val="none"/>
        </w:rPr>
        <w:t>涉及车辆的年审、保险等法定检测及收费，中标人须按时办理。</w:t>
      </w:r>
    </w:p>
    <w:p>
      <w:pPr>
        <w:pStyle w:val="27"/>
        <w:numPr>
          <w:ilvl w:val="0"/>
          <w:numId w:val="0"/>
        </w:numPr>
        <w:spacing w:line="360" w:lineRule="auto"/>
        <w:ind w:left="193" w:leftChars="92" w:firstLine="193" w:firstLineChars="92"/>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（5）</w:t>
      </w:r>
      <w:r>
        <w:rPr>
          <w:rFonts w:hint="eastAsia" w:ascii="宋体" w:hAnsi="宋体" w:eastAsia="宋体" w:cs="宋体"/>
          <w:color w:val="auto"/>
          <w:sz w:val="21"/>
          <w:szCs w:val="21"/>
          <w:highlight w:val="none"/>
        </w:rPr>
        <w:t>中标人可根据实际情况增加先进的机械设施。</w:t>
      </w:r>
    </w:p>
    <w:p>
      <w:pPr>
        <w:pStyle w:val="27"/>
        <w:numPr>
          <w:ilvl w:val="0"/>
          <w:numId w:val="0"/>
        </w:numPr>
        <w:spacing w:line="360" w:lineRule="auto"/>
        <w:ind w:left="193" w:leftChars="92" w:firstLine="193" w:firstLineChars="92"/>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（6）</w:t>
      </w:r>
      <w:r>
        <w:rPr>
          <w:rFonts w:hint="eastAsia" w:ascii="宋体" w:hAnsi="宋体" w:eastAsia="宋体" w:cs="宋体"/>
          <w:color w:val="auto"/>
          <w:sz w:val="21"/>
          <w:szCs w:val="21"/>
          <w:highlight w:val="none"/>
        </w:rPr>
        <w:t>机械设施设备须提供权属证明资料，除高空作业、吊车可以租赁外，其他设备需为自有设备，且设备只允许投入本工程使用，确保随时可以正常使用，采购人将对设备进行不定期检查。</w:t>
      </w:r>
    </w:p>
    <w:p>
      <w:pPr>
        <w:pStyle w:val="27"/>
        <w:numPr>
          <w:ilvl w:val="0"/>
          <w:numId w:val="0"/>
        </w:numPr>
        <w:spacing w:line="360" w:lineRule="auto"/>
        <w:ind w:left="193" w:leftChars="92" w:firstLine="193" w:firstLineChars="92"/>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（7）</w:t>
      </w:r>
      <w:r>
        <w:rPr>
          <w:rFonts w:hint="eastAsia" w:ascii="宋体" w:hAnsi="宋体" w:eastAsia="宋体" w:cs="宋体"/>
          <w:color w:val="auto"/>
          <w:sz w:val="21"/>
          <w:szCs w:val="21"/>
          <w:highlight w:val="none"/>
        </w:rPr>
        <w:t>园林机械设施必须在发出中标通知书后7 天内配置好，经采购人验收后登记在机械设置表。</w:t>
      </w:r>
    </w:p>
    <w:p>
      <w:pPr>
        <w:widowControl/>
        <w:numPr>
          <w:ilvl w:val="0"/>
          <w:numId w:val="0"/>
        </w:numPr>
        <w:spacing w:line="360" w:lineRule="auto"/>
        <w:ind w:left="0" w:leftChars="-8" w:hanging="17" w:hangingChars="8"/>
        <w:jc w:val="left"/>
        <w:rPr>
          <w:rFonts w:hint="eastAsia" w:ascii="宋体" w:hAnsi="宋体" w:eastAsia="宋体" w:cs="宋体"/>
          <w:b/>
          <w:bCs/>
          <w:color w:val="auto"/>
          <w:sz w:val="21"/>
          <w:szCs w:val="21"/>
          <w:highlight w:val="none"/>
        </w:rPr>
      </w:pPr>
      <w:r>
        <w:rPr>
          <w:rFonts w:hint="eastAsia" w:ascii="宋体" w:hAnsi="宋体" w:eastAsia="宋体" w:cs="宋体"/>
          <w:b/>
          <w:bCs/>
          <w:color w:val="auto"/>
          <w:kern w:val="2"/>
          <w:sz w:val="21"/>
          <w:szCs w:val="21"/>
          <w:highlight w:val="none"/>
          <w:lang w:val="en-US" w:eastAsia="zh-CN"/>
        </w:rPr>
        <w:t>10、</w:t>
      </w:r>
      <w:r>
        <w:rPr>
          <w:rFonts w:hint="eastAsia" w:ascii="宋体" w:hAnsi="宋体" w:eastAsia="宋体" w:cs="宋体"/>
          <w:b/>
          <w:bCs/>
          <w:color w:val="auto"/>
          <w:sz w:val="21"/>
          <w:szCs w:val="21"/>
          <w:highlight w:val="none"/>
        </w:rPr>
        <w:t>项目安全作业要求</w:t>
      </w:r>
    </w:p>
    <w:p>
      <w:pPr>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（1）中标人必须负起作业期间的安全管理和劳动管理责任，服务期内发生劳动纠纷、人员伤亡、车辆损失等安全事故，由中标人负一切经济和法律责任。</w:t>
      </w:r>
    </w:p>
    <w:p>
      <w:pPr>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（2）中标人作业时必须严格遵守国家和地方道路交通管理规定，不得因作业而造成交通堵塞。</w:t>
      </w:r>
    </w:p>
    <w:p>
      <w:pPr>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（3）作业人员的制服、反光带、反光帽、袖套等需按采购人的要求统一款式、颜色，由中标人负责购买配发，并承担所需费用。员工作业时必须穿戴。</w:t>
      </w:r>
    </w:p>
    <w:p>
      <w:pPr>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（4）中标人须建立安全管理制度，每月定期对司机及其他作业人员开展安全管理教育。</w:t>
      </w:r>
    </w:p>
    <w:p>
      <w:pPr>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（5）在作业时，须在显眼位置设置足够的安全警示标志，如须实施逆向行驶作业的，须在道路两头设置禁行标志。</w:t>
      </w:r>
    </w:p>
    <w:p>
      <w:pPr>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（6）随车人员要密切配合司机做好安全行驶措施，特别在装卸车时，要站在车后观察周边动态，确保安全作业。</w:t>
      </w:r>
    </w:p>
    <w:p>
      <w:pPr>
        <w:widowControl/>
        <w:numPr>
          <w:ilvl w:val="0"/>
          <w:numId w:val="0"/>
        </w:numPr>
        <w:spacing w:line="360" w:lineRule="auto"/>
        <w:ind w:left="0" w:leftChars="0" w:firstLine="0" w:firstLineChars="0"/>
        <w:jc w:val="left"/>
        <w:rPr>
          <w:rFonts w:hint="eastAsia" w:ascii="宋体" w:hAnsi="宋体" w:eastAsia="宋体" w:cs="宋体"/>
          <w:b/>
          <w:bCs/>
          <w:color w:val="auto"/>
          <w:sz w:val="21"/>
          <w:szCs w:val="21"/>
          <w:highlight w:val="none"/>
        </w:rPr>
      </w:pPr>
      <w:r>
        <w:rPr>
          <w:rFonts w:hint="eastAsia" w:ascii="宋体" w:hAnsi="宋体" w:eastAsia="宋体" w:cs="宋体"/>
          <w:b/>
          <w:bCs/>
          <w:color w:val="auto"/>
          <w:kern w:val="2"/>
          <w:sz w:val="21"/>
          <w:szCs w:val="21"/>
          <w:highlight w:val="none"/>
          <w:lang w:val="en-US" w:eastAsia="zh-CN"/>
        </w:rPr>
        <w:t>11、</w:t>
      </w:r>
      <w:r>
        <w:rPr>
          <w:rFonts w:hint="eastAsia" w:ascii="宋体" w:hAnsi="宋体" w:eastAsia="宋体" w:cs="宋体"/>
          <w:b/>
          <w:bCs/>
          <w:color w:val="auto"/>
          <w:sz w:val="21"/>
          <w:szCs w:val="21"/>
          <w:highlight w:val="none"/>
        </w:rPr>
        <w:t>项目作业特殊情况要求</w:t>
      </w:r>
    </w:p>
    <w:p>
      <w:pPr>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项目作业如因客观原因需要变更作业时间情况下，采购人应与中标人双方进行协商处理。</w:t>
      </w:r>
    </w:p>
    <w:p>
      <w:pPr>
        <w:pStyle w:val="5"/>
        <w:numPr>
          <w:ilvl w:val="0"/>
          <w:numId w:val="0"/>
        </w:numPr>
        <w:tabs>
          <w:tab w:val="left" w:pos="540"/>
        </w:tabs>
        <w:autoSpaceDE/>
        <w:autoSpaceDN/>
        <w:snapToGrid w:val="0"/>
        <w:spacing w:line="360" w:lineRule="auto"/>
        <w:ind w:left="420" w:leftChars="0" w:hanging="420" w:firstLineChars="0"/>
        <w:jc w:val="both"/>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val="en-US" w:eastAsia="zh-CN"/>
        </w:rPr>
        <w:t>六、</w:t>
      </w:r>
      <w:r>
        <w:rPr>
          <w:rFonts w:hint="eastAsia" w:ascii="宋体" w:hAnsi="宋体" w:eastAsia="宋体" w:cs="宋体"/>
          <w:b/>
          <w:bCs/>
          <w:color w:val="auto"/>
          <w:sz w:val="21"/>
          <w:szCs w:val="21"/>
          <w:highlight w:val="none"/>
        </w:rPr>
        <w:t>变更增减</w:t>
      </w:r>
    </w:p>
    <w:p>
      <w:pPr>
        <w:spacing w:line="360" w:lineRule="auto"/>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因更新和改造或其他原因造成管养面积或数量增减的，按如下标准：</w:t>
      </w:r>
    </w:p>
    <w:p>
      <w:pPr>
        <w:spacing w:line="360" w:lineRule="auto"/>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管养面积在1000平方以上，行道树50株以上，按中标单价予以相应增减。</w:t>
      </w:r>
    </w:p>
    <w:p>
      <w:pPr>
        <w:spacing w:line="360" w:lineRule="auto"/>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应采购人要求，范围内进行补植、更新、改造的，具体经费以财政审核结果为准，结算工程量以实际发生为准。进行更新和改造、补植苗木项目，实施成活保养期为一年，相应从合同款中扣除该范围承包管理费用一年。</w:t>
      </w:r>
    </w:p>
    <w:p>
      <w:pPr>
        <w:spacing w:line="360" w:lineRule="auto"/>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按国家政策要求需公开招投标的，严格按政策法规执行。</w:t>
      </w:r>
    </w:p>
    <w:p>
      <w:pPr>
        <w:spacing w:line="360" w:lineRule="auto"/>
        <w:ind w:left="0" w:leftChars="0" w:firstLine="0" w:firstLineChars="0"/>
        <w:rPr>
          <w:rFonts w:hint="eastAsia" w:ascii="宋体" w:hAnsi="宋体" w:eastAsia="宋体" w:cs="宋体"/>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有偿服务。中标人无条件执行采购人要求，有偿服务经双方现场核定工作量后确定服务费用。</w:t>
      </w:r>
      <w:r>
        <w:rPr>
          <w:rFonts w:hint="eastAsia" w:ascii="宋体" w:hAnsi="宋体" w:eastAsia="宋体" w:cs="宋体"/>
          <w:sz w:val="21"/>
          <w:szCs w:val="21"/>
          <w:highlight w:val="none"/>
        </w:rPr>
        <w:t xml:space="preserve"> </w:t>
      </w:r>
    </w:p>
    <w:p>
      <w:pPr>
        <w:pStyle w:val="5"/>
        <w:numPr>
          <w:ilvl w:val="0"/>
          <w:numId w:val="0"/>
        </w:numPr>
        <w:tabs>
          <w:tab w:val="left" w:pos="540"/>
        </w:tabs>
        <w:autoSpaceDE/>
        <w:autoSpaceDN/>
        <w:snapToGrid w:val="0"/>
        <w:spacing w:line="360" w:lineRule="auto"/>
        <w:ind w:left="420" w:leftChars="0" w:hanging="420" w:firstLineChars="0"/>
        <w:jc w:val="both"/>
        <w:rPr>
          <w:rFonts w:hint="eastAsia" w:ascii="宋体" w:hAnsi="宋体" w:eastAsia="宋体" w:cs="宋体"/>
          <w:b/>
          <w:color w:val="auto"/>
          <w:sz w:val="21"/>
          <w:szCs w:val="21"/>
          <w:highlight w:val="none"/>
        </w:rPr>
      </w:pPr>
      <w:r>
        <w:rPr>
          <w:rFonts w:hint="eastAsia" w:ascii="宋体" w:hAnsi="宋体" w:eastAsia="宋体" w:cs="宋体"/>
          <w:b/>
          <w:bCs/>
          <w:color w:val="auto"/>
          <w:kern w:val="0"/>
          <w:sz w:val="21"/>
          <w:szCs w:val="21"/>
          <w:highlight w:val="none"/>
          <w:lang w:val="en-US" w:eastAsia="zh-CN"/>
        </w:rPr>
        <w:t>七、</w:t>
      </w:r>
      <w:r>
        <w:rPr>
          <w:rFonts w:hint="eastAsia" w:ascii="宋体" w:hAnsi="宋体" w:eastAsia="宋体" w:cs="宋体"/>
          <w:b/>
          <w:color w:val="auto"/>
          <w:sz w:val="21"/>
          <w:szCs w:val="21"/>
          <w:highlight w:val="none"/>
        </w:rPr>
        <w:t>养护管理的考核</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1、考核检查执行《新区绿化景观综合管养检查考评方法》、《新区绿化景观综合管养检查评分标准》、《新区绿化景观综合管养检查扣罚标准》进行服务质量考核。</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 采购人严格执行督查制度,建立规范合理的奖惩机制,对中标人养护范围内的管理工作进行监督及指导，采取日常检查、月度检查、季度总评等综合考核方法，对养护管理实施考核、检查和验收。</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3、中标人实行责任督查制度。中标人建立日常巡查工作组,发现问题及时整改,并将检查情况存档备查。中标人划分责任区,分片包干,责任到人,进一步明确和细化管理标准。</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4、管养期内，中标人在采购人从事养护工作的养护业绩、信誉、实力等将做为该企业的信用档案，上报相关部门备案，作为今后企业年检和绿化工程招投标的综合评分依据。</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5、具体考核流程和办法见新区绿化景观综合管养检查评分标准。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aps w:val="0"/>
          <w:color w:val="000000"/>
          <w:spacing w:val="0"/>
          <w:kern w:val="0"/>
          <w:sz w:val="21"/>
          <w:szCs w:val="21"/>
          <w:highlight w:val="none"/>
          <w:shd w:val="clear" w:color="0C0000" w:fill="FFFFFF"/>
          <w:vertAlign w:val="baseline"/>
          <w:lang w:val="en-US" w:eastAsia="zh-CN"/>
        </w:rPr>
      </w:pPr>
      <w:r>
        <w:rPr>
          <w:rFonts w:hint="eastAsia" w:ascii="宋体" w:hAnsi="宋体" w:eastAsia="宋体" w:cs="宋体"/>
          <w:b/>
          <w:bCs/>
          <w:i w:val="0"/>
          <w:iCs w:val="0"/>
          <w:caps w:val="0"/>
          <w:color w:val="000000"/>
          <w:spacing w:val="0"/>
          <w:kern w:val="0"/>
          <w:sz w:val="21"/>
          <w:szCs w:val="21"/>
          <w:highlight w:val="none"/>
          <w:shd w:val="clear" w:color="0C0000" w:fill="FFFFFF"/>
          <w:vertAlign w:val="baseline"/>
          <w:lang w:val="en-US" w:eastAsia="zh-CN"/>
        </w:rPr>
        <w:t>八、商务要求</w:t>
      </w:r>
    </w:p>
    <w:p>
      <w:pPr>
        <w:pStyle w:val="28"/>
        <w:spacing w:line="360" w:lineRule="auto"/>
        <w:ind w:left="0" w:leftChars="0" w:firstLine="0" w:firstLineChars="0"/>
        <w:rPr>
          <w:rFonts w:hint="eastAsia" w:ascii="宋体" w:hAnsi="宋体" w:eastAsia="宋体" w:cs="宋体"/>
          <w:b/>
          <w:bCs/>
          <w:i w:val="0"/>
          <w:iCs w:val="0"/>
          <w:caps w:val="0"/>
          <w:color w:val="000000"/>
          <w:spacing w:val="0"/>
          <w:kern w:val="0"/>
          <w:sz w:val="21"/>
          <w:szCs w:val="21"/>
          <w:highlight w:val="none"/>
          <w:shd w:val="clear" w:color="0C0000" w:fill="FFFFFF"/>
          <w:vertAlign w:val="baseline"/>
          <w:lang w:val="en-US" w:eastAsia="zh-CN"/>
        </w:rPr>
      </w:pPr>
      <w:r>
        <w:rPr>
          <w:rFonts w:hint="eastAsia" w:ascii="宋体" w:hAnsi="宋体" w:eastAsia="宋体" w:cs="宋体"/>
          <w:b/>
          <w:bCs/>
          <w:i w:val="0"/>
          <w:iCs w:val="0"/>
          <w:caps w:val="0"/>
          <w:color w:val="000000"/>
          <w:spacing w:val="0"/>
          <w:kern w:val="0"/>
          <w:sz w:val="21"/>
          <w:szCs w:val="21"/>
          <w:highlight w:val="none"/>
          <w:shd w:val="clear" w:color="0C0000" w:fill="FFFFFF"/>
          <w:vertAlign w:val="baseline"/>
          <w:lang w:val="en-US" w:eastAsia="zh-CN"/>
        </w:rPr>
        <w:t>（一）服务期及服务地点</w:t>
      </w:r>
    </w:p>
    <w:p>
      <w:pPr>
        <w:widowControl/>
        <w:numPr>
          <w:ilvl w:val="0"/>
          <w:numId w:val="0"/>
        </w:numPr>
        <w:spacing w:line="360" w:lineRule="auto"/>
        <w:ind w:left="360" w:leftChars="0" w:hanging="36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1、服务期：自合同签订之日起三年。</w:t>
      </w:r>
    </w:p>
    <w:p>
      <w:pPr>
        <w:widowControl/>
        <w:numPr>
          <w:ilvl w:val="0"/>
          <w:numId w:val="0"/>
        </w:numPr>
        <w:spacing w:line="360" w:lineRule="auto"/>
        <w:ind w:left="360" w:leftChars="0" w:hanging="36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2、服务地点：按采购人指定地点实施。</w:t>
      </w:r>
    </w:p>
    <w:p>
      <w:pPr>
        <w:pStyle w:val="28"/>
        <w:spacing w:line="360" w:lineRule="auto"/>
        <w:ind w:left="0" w:leftChars="0" w:firstLine="0" w:firstLineChars="0"/>
        <w:rPr>
          <w:rFonts w:hint="eastAsia" w:ascii="宋体" w:hAnsi="宋体" w:eastAsia="宋体" w:cs="宋体"/>
          <w:b/>
          <w:bCs/>
          <w:i w:val="0"/>
          <w:iCs w:val="0"/>
          <w:caps w:val="0"/>
          <w:color w:val="000000"/>
          <w:spacing w:val="0"/>
          <w:kern w:val="0"/>
          <w:sz w:val="21"/>
          <w:szCs w:val="21"/>
          <w:highlight w:val="none"/>
          <w:shd w:val="clear" w:color="0C0000" w:fill="FFFFFF"/>
          <w:vertAlign w:val="baseline"/>
          <w:lang w:val="en-US" w:eastAsia="zh-CN"/>
        </w:rPr>
      </w:pPr>
      <w:r>
        <w:rPr>
          <w:rFonts w:hint="eastAsia" w:ascii="宋体" w:hAnsi="宋体" w:eastAsia="宋体" w:cs="宋体"/>
          <w:b/>
          <w:bCs/>
          <w:i w:val="0"/>
          <w:iCs w:val="0"/>
          <w:caps w:val="0"/>
          <w:color w:val="000000"/>
          <w:spacing w:val="0"/>
          <w:kern w:val="0"/>
          <w:sz w:val="21"/>
          <w:szCs w:val="21"/>
          <w:highlight w:val="none"/>
          <w:shd w:val="clear" w:color="0C0000" w:fill="FFFFFF"/>
          <w:vertAlign w:val="baseline"/>
          <w:lang w:val="en-US" w:eastAsia="zh-CN"/>
        </w:rPr>
        <w:t>（二）报价要求</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须承诺本次报价包括了与本次服务相关的全部费用，不另向采购人收费。投标报价以人民币为结算单位，包含车辆设备费、管理费、工具费、清洁物料费（消耗用品）、人员人工费（包括工资、意外保险、工伤保险、医疗保险、社会保险、高温补贴费）、安全作业费、防护费、各种税费以及实施过程中应预见和不可预见的一切费用。超过项目预算的报价为无效报价。（投标时提供承诺函并加盖公章。）</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2、更新和改造、补植苗木项目不包含在管养经费中,管护期内因管护不良造成苗木死亡的补植由中标人负责。</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3、投标人应在新区设有或承诺在中标后30天内在设立固定的办公场所（非住宅小区类），在服务期内不得撤离。</w:t>
      </w:r>
    </w:p>
    <w:p>
      <w:pPr>
        <w:numPr>
          <w:ilvl w:val="0"/>
          <w:numId w:val="0"/>
        </w:numPr>
        <w:spacing w:line="360" w:lineRule="auto"/>
        <w:ind w:leftChars="0"/>
        <w:rPr>
          <w:rFonts w:hint="eastAsia" w:ascii="宋体" w:hAnsi="宋体" w:eastAsia="宋体" w:cs="宋体"/>
          <w:b/>
          <w:bCs/>
          <w:color w:val="000000"/>
          <w:kern w:val="2"/>
          <w:sz w:val="21"/>
          <w:szCs w:val="21"/>
          <w:highlight w:val="none"/>
          <w:vertAlign w:val="baseline"/>
          <w:lang w:val="en-US" w:eastAsia="zh-CN"/>
        </w:rPr>
      </w:pPr>
      <w:r>
        <w:rPr>
          <w:rFonts w:hint="eastAsia" w:ascii="宋体" w:hAnsi="宋体" w:eastAsia="宋体" w:cs="宋体"/>
          <w:b/>
          <w:bCs/>
          <w:color w:val="000000"/>
          <w:kern w:val="2"/>
          <w:sz w:val="21"/>
          <w:szCs w:val="21"/>
          <w:highlight w:val="none"/>
          <w:vertAlign w:val="baseline"/>
          <w:lang w:val="en-US" w:eastAsia="zh-CN"/>
        </w:rPr>
        <w:t>九、结算方式</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1、本项目采用分期付款方式：</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每年合同款按中标价一年12个月平均计算按月支付，从服务期开始的次月起每月20日前支付上月合同款，支付合同款时中标人需带备以下资料：</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（1）提供发票及云浮市云安区税务局出具的完税证明；</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（2）中标人违约金缴交证明（如有）。</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服务期内发生合同款增减的，从增减的当月起计算，下月调整拨付。</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2、服务期内中标人违约产生的违约金由采购人在当月的合同款扣减。</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3、中标人不按规定为员工购买社会保险和意外伤害保险的，员工因工作而导致的意外伤害，中标人承担工伤保险的全部赔付责任。</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4、付款方式：采用支票、银行汇付（含电汇）等形式。</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5、每笔款项支付时，中标人同时向采购人提供相应金额的收款凭证。</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上述款项的付款时间为采购人向政府采购支付部门提出的支付申请的时间（不含政府财政支付部门审查的时间）。中标人承诺在付款期限内采购人已向政府采购支付部门提出支付申请的，不视为采购人逾期和违约。</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管养期满前三个月暂停作业费的支付，待中标人将受委托管养的绿地、配套设施及其有关资料全部移交采购人，并经采购人验收合格，扣除按合同约定应由中标人方支付给采购人的赔偿损失费用等费用后，采购人一次性支付剩余的作业费。</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8、中标人出现连续2个月管养考核不合格，暂停作业费的支付。 </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因采购人使用的是财政资金，采购人在前款规定的付款时间为向政府采购支付部门提出办理财政支付申请手续的时间（不含政府财政支付部门审核的时间），在规定时间内提出支付申请手续后即视为采购人已遵守支付约定。</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10、若采购人延迟支付成交服务方合同款项的，应当支付逾期利息，约定利率不得低于合同订立时1年期贷款市场报价利率。</w:t>
      </w:r>
    </w:p>
    <w:p>
      <w:pPr>
        <w:pStyle w:val="30"/>
        <w:spacing w:line="360" w:lineRule="auto"/>
        <w:ind w:left="0" w:leftChars="0" w:firstLine="0" w:firstLineChars="0"/>
        <w:jc w:val="both"/>
        <w:rPr>
          <w:rFonts w:hint="eastAsia" w:ascii="宋体" w:hAnsi="宋体" w:eastAsia="宋体" w:cs="宋体"/>
          <w:b/>
          <w:bCs/>
          <w:color w:val="000000"/>
          <w:sz w:val="21"/>
          <w:szCs w:val="21"/>
          <w:highlight w:val="none"/>
          <w:lang w:val="en-US" w:eastAsia="zh-CN"/>
        </w:rPr>
      </w:pPr>
      <w:r>
        <w:rPr>
          <w:rFonts w:hint="eastAsia" w:ascii="宋体" w:hAnsi="宋体" w:eastAsia="宋体" w:cs="宋体"/>
          <w:b/>
          <w:bCs/>
          <w:color w:val="000000"/>
          <w:sz w:val="21"/>
          <w:szCs w:val="21"/>
          <w:highlight w:val="none"/>
          <w:lang w:val="en-US" w:eastAsia="zh-CN"/>
        </w:rPr>
        <w:t>十、其他要求</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1、服务期到期后，合同自动终止，如遇采购人未签订新的中标人，经协商，中标人继续为采购人提供服务，直至签订新的中标人，采购人根据新的中标人的中标金额和期限比例支付款项给中标人。</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2、合同履约保证金</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在签订合同前，中标人需向采购人缴交首年中标价的百分之三作为合同履约保证金，缴交形式以银行转账或出具履约保函。在合同有效期内，中标人履行合同且经验收合格的，合同期满后30天内，采购人如数（不计息）退还中标人。如果中标人拒绝提交合同履约保证金，采购人将有充分理由取消该中标资格，没收其投标保证金，中标人应承担违约责任。</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因违约或其它原因给采购人造成损失的，中标人应以合同履约保证金抵偿，不足以抵偿部分应在收到采购人通知之日5个工作日内支付，否则，采购人有权单方面中止中标人的中标资格和采购合同并继续追偿损失，中标人由此遭受的一切损失和后果由其自行负责。如采购人同意中标人继续履行采购合同，中标人应在收到采购人通知之日起5个工作日内重新补足合同履约保证金。</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履约保证金可以以履约保函（保险）形式提供，目前"广东政府采购智慧云平台金融服务中心(https://gdgpo.czt.gd.gov.cn/zcdservice/zcd/guangdong/)已实现电子履约保函（保险）在线办理功能，有意愿供应商可自行办理提供。</w:t>
      </w:r>
    </w:p>
    <w:p>
      <w:pPr>
        <w:pStyle w:val="5"/>
        <w:numPr>
          <w:ilvl w:val="0"/>
          <w:numId w:val="0"/>
        </w:numPr>
        <w:tabs>
          <w:tab w:val="left" w:pos="540"/>
        </w:tabs>
        <w:autoSpaceDE/>
        <w:autoSpaceDN/>
        <w:snapToGrid w:val="0"/>
        <w:spacing w:line="360" w:lineRule="auto"/>
        <w:ind w:left="420" w:leftChars="0" w:hanging="420" w:firstLineChars="0"/>
        <w:jc w:val="both"/>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lang w:val="en-US" w:eastAsia="zh-CN"/>
        </w:rPr>
        <w:t>十一、</w:t>
      </w:r>
      <w:r>
        <w:rPr>
          <w:rFonts w:hint="eastAsia" w:ascii="宋体" w:hAnsi="宋体" w:eastAsia="宋体" w:cs="宋体"/>
          <w:b/>
          <w:bCs/>
          <w:color w:val="auto"/>
          <w:sz w:val="21"/>
          <w:szCs w:val="21"/>
          <w:highlight w:val="none"/>
        </w:rPr>
        <w:t>双方责任</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采购人责任</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（1）在中标人达到服务标准的情况下，按约定时限和方式将合同款足额拨给中标人。</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（2）严格按照标准对中标人的管理作业进行定期检查和不定期抽查，并向中标人提供必要的业务指导；视管理需要,采购人可随时对考核办法及方式进行调整，中标人对此必须配合执行。</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检查考核时采购人不得故意为难中标人，检查情况要做好记录，要求中标人整改的工作要明确告知，对确需实施处罚的，需经双方现场察看情况属实后并签字认可。如中标人拒不到场或到场后拒不签字或无法联系的，采购人有2人在场作证或有照片、录像、录音等证据之一，采购人也可作出处罚决定，处罚有效，中标人必须执行。</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（4）采购人有权对服务范围进行调整变动，调整后如符合本合同规定增减合同款的，按本合同规定执行，中标人必须服从。</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（5）中标人提出解除合同申请，采购人要在30天内书面回复中标人。</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（6）督促中标人按有关规定管理好绿地内公共设施。</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（7）对因政策变更、政府有新规定、新区城市建设和管理需要、采购人需要延期或提前终止合同时，必须提前30天书面通知中标人。</w:t>
      </w:r>
    </w:p>
    <w:p>
      <w:pPr>
        <w:spacing w:line="360" w:lineRule="auto"/>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（8）配合执法部门对违反城市绿化管理的行为进行查处。</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中标人责任</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（1）服务期限内，中标人应按照标准实施新区绿化景观综合管养服务项目作业，做到科学组织、及时落实、保质保量完成各项工作任务。</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（2）遵守国家的有关法律法规以及本合同的有关约定条款。要在内部建立劳动纪律、路段岗位编排、工具及设备使用计划、工作质量的服务管理制度、项目应急方案、项目日常实施方案并报采购人核准后实施。</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（3）坚持每天检查承包范围各项服务工作的完成情况，发现不符合服务作业质量标准的，要主动加以整改，确保日常服务运作的高效管理。</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（4）项目实施所用的一切劳动力、生产资料由中标人自行组织，由此产生的一切费用由中标人承担。</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（5）作业质量要接受采购人的监督，如因服务质量不达标而发生被处罚或解除合同情况的，后果由中标人负责。</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（6）配合采购人做好宣传工作，对违反城市绿化管理规定的行为进行有效制止、劝阻。</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（7）防风、防汛、防旱、防冻等自然灾害的园林绿化抗灾抢险应急处理，突发、紧急事件、重大节假日或有特殊任务及政府重大活动时，中标人要按采购人的要求及时做好相关工作。</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按招标文件要求及投标文件承诺规定配置足够作业人数，依法用工，所雇请的工作人员必须按照《劳动法》建立劳动合同关系，中标人支付给员工的月基本工资不低于当地人社局规定的最低工资标准,且需按政策为员工缴交社会保险和购买人身意外伤害险，按照广东省相关规定发放员工高温津贴。</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（9）中标人必须中标后5 天内向采购人提交人员管理架构表，如有增减必须登记更正，每月1 日至5 日前，中标人须把增减名单以书面形式送到采购人备案，随时接受抽查。</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（10）中标人须在每季度未书面递交下一季的工作计划和本季的工作总结给采购人， 以便了解和监控中标人的工作动态。</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（11）中标人必须按招标文件规定及投标文件承诺配备好项目实施所需的设备、工具及劳保用品。并按有关标准做好保管、保养、维修等工作。禁止中标人将工具、劳保用品费用列入员工基本工资。</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（12）中标人实施项目作业时必须执行国家有关安全生产的法律、法规及标准。避免出现安全生产事故。服务期内发生安全生产责任事故的，由中标人承担一切法律责任及经济赔偿责任。</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（13）保护园林绿化绿地内的设施完好无损，景观效果优良。设施如有损坏，要及时修补或更换，保证设施的完整美观。</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（14）对影响观瞻和带污垢、涂写和乱张贴的所有设施（包括台、凳、凉亭、雕塑地面等） 要及时清理并恢复原状。</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（15）中标人提出解除合同的，必须提前30天书面通知送达采购人。</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（16）严禁分包或转包。</w:t>
      </w:r>
    </w:p>
    <w:p>
      <w:pPr>
        <w:pStyle w:val="5"/>
        <w:numPr>
          <w:ilvl w:val="0"/>
          <w:numId w:val="0"/>
        </w:numPr>
        <w:tabs>
          <w:tab w:val="left" w:pos="540"/>
        </w:tabs>
        <w:autoSpaceDE/>
        <w:autoSpaceDN/>
        <w:snapToGrid w:val="0"/>
        <w:spacing w:line="360" w:lineRule="auto"/>
        <w:ind w:left="420" w:leftChars="0" w:hanging="420" w:firstLineChars="0"/>
        <w:jc w:val="both"/>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lang w:val="en-US" w:eastAsia="zh-CN"/>
        </w:rPr>
        <w:t>十二、</w:t>
      </w:r>
      <w:r>
        <w:rPr>
          <w:rFonts w:hint="eastAsia" w:ascii="宋体" w:hAnsi="宋体" w:eastAsia="宋体" w:cs="宋体"/>
          <w:b/>
          <w:bCs/>
          <w:color w:val="auto"/>
          <w:sz w:val="21"/>
          <w:szCs w:val="21"/>
          <w:highlight w:val="none"/>
        </w:rPr>
        <w:t>项目变更和终止</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有下列情况之一者，项目合同可变更和终止：</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1、因政策变更、政府有新规定、新区城市建设和管理需要，采购人可进行合同变更或终止。</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2、中标人因提出申请终止合同的，需经采购人同意后可终止合同。</w:t>
      </w:r>
    </w:p>
    <w:p>
      <w:pPr>
        <w:pStyle w:val="5"/>
        <w:numPr>
          <w:ilvl w:val="0"/>
          <w:numId w:val="0"/>
        </w:numPr>
        <w:tabs>
          <w:tab w:val="left" w:pos="540"/>
        </w:tabs>
        <w:autoSpaceDE/>
        <w:autoSpaceDN/>
        <w:snapToGrid w:val="0"/>
        <w:spacing w:line="360" w:lineRule="auto"/>
        <w:ind w:left="420" w:leftChars="0" w:hanging="420" w:firstLineChars="0"/>
        <w:jc w:val="both"/>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lang w:val="en-US" w:eastAsia="zh-CN"/>
        </w:rPr>
        <w:t>十三、</w:t>
      </w:r>
      <w:r>
        <w:rPr>
          <w:rFonts w:hint="eastAsia" w:ascii="宋体" w:hAnsi="宋体" w:eastAsia="宋体" w:cs="宋体"/>
          <w:b/>
          <w:bCs/>
          <w:color w:val="auto"/>
          <w:sz w:val="21"/>
          <w:szCs w:val="21"/>
          <w:highlight w:val="none"/>
        </w:rPr>
        <w:t>违约责任</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 xml:space="preserve">采购人违约责任 </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采购人不因政策变更、政府有新规定、新区城市建设和管理需要的原因或无合理原因，单方面终止合同的，除向乙方付清应付未付的合同款（指终止合同当月全月的合同款），按照本项目首年中标合同款（一年12个月平均计算）支付一个月合同款给中标人作为补偿并退还合同履约保证金。</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（2）中标人提出解除合同申请，采购人超出30天后没有书面回复中标人的视为自动终止合同，采购人要按照本项目首年中标合同款（一年12个月平均计算）补偿支付一个月合同款给中标人并退还合同履约保证金。</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中标人违约责任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服务期内，如发现中标人未能履行招标文件规定、承诺及合同相关条款,采购人可按罚则对中标人实施经济处罚，实施经济处罚后并不免除中标人需承担的相应法律责任。</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中标人有下列现象之一，当违约处理，采购人可单方面解除本合同关系，中标人缴交的合同履约保证金自动归采购人所有，且采购人可追究中标人由此而引起的法律及经济损失责任：</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（1）中标人自行终止合同，不履行服务职责的，包括中标人虽提出解除合同申请，但在采购人规定书面回复前时间内，擅自不履行合同责任的。</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（2）中标人承包项目连续3个全天无实施综合管养作业的。</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（3）管养作业年度履约考核不合格、年度内两个季度或以上检查得分不及格，视为违约。</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（4）出现防风、防汛、防旱、防冻等自然灾害的园林绿化抗灾抢险应急处理，突发、紧急事件、重大节假日或有特殊任务及政府重大活动时，中标人未能按采购人要求做好相关工作的。</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（5）因中标人未能按标准做好项目服务工作而受到新闻媒体月内负面报道二次或受到市民就同一问题连续投诉三次的。</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（6）分包或转包。</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（7）在签订合同后的一年内或未经采购人许可，擅自更换项目负责人和技术负责人的。</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（8）项目负责人、技术负责人、技术人员在岗时间少于规定时间。</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（9）本项目招标文件、合同条款以及附件规定的其他违约责任。</w:t>
      </w: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中标人违约的，采购人有权立即与中标人终止养护承包合同，重新组织招标采购确定管养单位，并没收合同履约保证金及有权要求中标人赔偿相关经济损失。中标人在今后三年内不得参加云浮新区内政府采购、建设工程招标项目的投标报名。所造成的一切经济损失和法律责任由中标人承担。</w:t>
      </w:r>
    </w:p>
    <w:p>
      <w:pPr>
        <w:spacing w:line="360" w:lineRule="auto"/>
        <w:rPr>
          <w:rFonts w:hint="eastAsia" w:ascii="宋体" w:hAnsi="宋体" w:eastAsia="宋体" w:cs="宋体"/>
          <w:b/>
          <w:bCs/>
          <w:color w:val="auto"/>
          <w:sz w:val="21"/>
          <w:szCs w:val="21"/>
          <w:highlight w:val="none"/>
          <w:lang w:bidi="ar"/>
        </w:rPr>
      </w:pPr>
    </w:p>
    <w:p>
      <w:pPr>
        <w:spacing w:line="360" w:lineRule="auto"/>
        <w:rPr>
          <w:rFonts w:hint="eastAsia" w:ascii="宋体" w:hAnsi="宋体" w:eastAsia="宋体" w:cs="宋体"/>
          <w:b/>
          <w:bCs/>
          <w:color w:val="auto"/>
          <w:sz w:val="21"/>
          <w:szCs w:val="21"/>
          <w:highlight w:val="none"/>
          <w:lang w:bidi="ar"/>
        </w:rPr>
      </w:pPr>
    </w:p>
    <w:p>
      <w:p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附件：1、《新区绿化景观综合管养检查考评方法》</w:t>
      </w:r>
    </w:p>
    <w:p>
      <w:pPr>
        <w:spacing w:line="360" w:lineRule="auto"/>
        <w:ind w:left="0" w:leftChars="0" w:firstLine="630" w:firstLineChars="3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2、《新区绿化景观综合管养检查评分标准》</w:t>
      </w:r>
    </w:p>
    <w:p>
      <w:pPr>
        <w:spacing w:line="360" w:lineRule="auto"/>
        <w:ind w:left="0" w:leftChars="0" w:firstLine="630" w:firstLineChars="3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3、《新区绿化景观综合管养检查扣罚标准》</w:t>
      </w: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cs="宋体"/>
          <w:b/>
          <w:bCs/>
          <w:color w:val="auto"/>
          <w:sz w:val="21"/>
          <w:szCs w:val="21"/>
          <w:highlight w:val="none"/>
          <w:lang w:bidi="ar"/>
        </w:rPr>
      </w:pPr>
    </w:p>
    <w:p>
      <w:pPr>
        <w:spacing w:line="500" w:lineRule="exact"/>
        <w:rPr>
          <w:rFonts w:hint="eastAsia" w:ascii="宋体" w:hAnsi="宋体" w:eastAsia="宋体" w:cs="宋体"/>
          <w:b/>
          <w:bCs/>
          <w:color w:val="auto"/>
          <w:sz w:val="21"/>
          <w:szCs w:val="21"/>
          <w:highlight w:val="none"/>
          <w:lang w:bidi="ar"/>
        </w:rPr>
      </w:pPr>
    </w:p>
    <w:p>
      <w:pPr>
        <w:spacing w:line="500" w:lineRule="exact"/>
        <w:rPr>
          <w:rFonts w:hint="eastAsia" w:ascii="宋体" w:hAnsi="宋体" w:eastAsia="宋体" w:cs="宋体"/>
          <w:b/>
          <w:bCs/>
          <w:color w:val="auto"/>
          <w:sz w:val="21"/>
          <w:szCs w:val="21"/>
          <w:highlight w:val="none"/>
          <w:lang w:bidi="ar"/>
        </w:rPr>
      </w:pPr>
    </w:p>
    <w:p>
      <w:pPr>
        <w:spacing w:line="50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bidi="ar"/>
        </w:rPr>
        <w:t>附件1</w:t>
      </w:r>
    </w:p>
    <w:p>
      <w:pPr>
        <w:spacing w:line="5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新区绿化景观综合管养检查考评方法</w:t>
      </w:r>
    </w:p>
    <w:p>
      <w:pPr>
        <w:pStyle w:val="31"/>
        <w:widowControl/>
        <w:spacing w:line="560" w:lineRule="exact"/>
        <w:ind w:firstLine="413" w:firstLineChars="196"/>
        <w:rPr>
          <w:rFonts w:hint="eastAsia" w:ascii="宋体" w:hAnsi="宋体" w:cs="宋体"/>
          <w:b/>
          <w:color w:val="auto"/>
          <w:kern w:val="0"/>
          <w:szCs w:val="21"/>
          <w:highlight w:val="none"/>
        </w:rPr>
      </w:pPr>
      <w:r>
        <w:rPr>
          <w:rFonts w:hint="eastAsia" w:ascii="宋体" w:hAnsi="宋体" w:cs="宋体"/>
          <w:b/>
          <w:color w:val="auto"/>
          <w:kern w:val="0"/>
          <w:szCs w:val="21"/>
          <w:highlight w:val="none"/>
        </w:rPr>
        <w:t>一、考核流程</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1、日常检查流程：日常检查：现场检查——限期整改通知——扣罚通知——公布结果。</w:t>
      </w:r>
    </w:p>
    <w:p>
      <w:pPr>
        <w:pStyle w:val="31"/>
        <w:widowControl/>
        <w:spacing w:line="560" w:lineRule="exact"/>
        <w:ind w:firstLine="570"/>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不通知受检单位，由检查人员不定期对绿化管理状况进行全面检查的方式。除正常上班时间外，在最容易出现问题的时间（双休日、节假日期间）亦要进行检查，每月检查次数不少于5 次。    </w:t>
      </w:r>
    </w:p>
    <w:p>
      <w:pPr>
        <w:pStyle w:val="31"/>
        <w:widowControl/>
        <w:spacing w:line="560" w:lineRule="exact"/>
        <w:ind w:firstLine="570"/>
        <w:rPr>
          <w:rFonts w:hint="eastAsia" w:ascii="宋体" w:hAnsi="宋体" w:cs="宋体"/>
          <w:color w:val="auto"/>
          <w:kern w:val="0"/>
          <w:szCs w:val="21"/>
          <w:highlight w:val="none"/>
        </w:rPr>
      </w:pPr>
      <w:r>
        <w:rPr>
          <w:rFonts w:hint="eastAsia" w:ascii="宋体" w:hAnsi="宋体" w:cs="宋体"/>
          <w:color w:val="auto"/>
          <w:kern w:val="0"/>
          <w:szCs w:val="21"/>
          <w:highlight w:val="none"/>
        </w:rPr>
        <w:t>日常考核检查成员：新区综合服务中心不少于2人。</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2、月度考核：通知——现场检查（包括抽样点检查和效果检查）——集中评分——计算结果——公布结果。</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是指事先通知受检单位的检查方式，由听取受检单位的工作汇报、查阅资料和现场检查等部分组成，检查前随机抽样检查，每个月度检查1 次，时间以采购人的通知为准。</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月度检查组成员：新区综合服务中心 3人、中标人公司2人。</w:t>
      </w:r>
    </w:p>
    <w:p>
      <w:pPr>
        <w:pStyle w:val="31"/>
        <w:widowControl/>
        <w:numPr>
          <w:ilvl w:val="0"/>
          <w:numId w:val="2"/>
        </w:numPr>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季度考核。采取日常检查和月度检查相结合的方式进行综合评定。</w:t>
      </w:r>
    </w:p>
    <w:p>
      <w:pPr>
        <w:pStyle w:val="31"/>
        <w:widowControl/>
        <w:numPr>
          <w:ilvl w:val="0"/>
          <w:numId w:val="2"/>
        </w:numPr>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年度履约考核。综合季度考核情况予以评定履约情况。</w:t>
      </w:r>
    </w:p>
    <w:p>
      <w:pPr>
        <w:pStyle w:val="31"/>
        <w:widowControl/>
        <w:spacing w:line="560" w:lineRule="exact"/>
        <w:rPr>
          <w:rFonts w:hint="eastAsia" w:ascii="宋体" w:hAnsi="宋体" w:cs="宋体"/>
          <w:b/>
          <w:color w:val="auto"/>
          <w:kern w:val="0"/>
          <w:szCs w:val="21"/>
          <w:highlight w:val="none"/>
        </w:rPr>
      </w:pPr>
      <w:r>
        <w:rPr>
          <w:rFonts w:hint="eastAsia" w:ascii="宋体" w:hAnsi="宋体" w:cs="宋体"/>
          <w:b/>
          <w:color w:val="auto"/>
          <w:kern w:val="0"/>
          <w:szCs w:val="21"/>
          <w:highlight w:val="none"/>
        </w:rPr>
        <w:t xml:space="preserve">    二、评分办法</w:t>
      </w:r>
    </w:p>
    <w:p>
      <w:pPr>
        <w:pStyle w:val="31"/>
        <w:widowControl/>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1、实行综合评分制，总分值为100 分，每月进行一次评分，每季度汇总即平均分。</w:t>
      </w:r>
    </w:p>
    <w:p>
      <w:pPr>
        <w:pStyle w:val="31"/>
        <w:widowControl/>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2、综合评定得分分为以下几个等级：</w:t>
      </w:r>
    </w:p>
    <w:p>
      <w:pPr>
        <w:pStyle w:val="31"/>
        <w:widowControl/>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（1）95 分及以上为优秀档次；</w:t>
      </w:r>
    </w:p>
    <w:p>
      <w:pPr>
        <w:pStyle w:val="31"/>
        <w:widowControl/>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（2）得分85 分～94分为良好档次； </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（3）得分75 分～84分为及格档次；</w:t>
      </w:r>
    </w:p>
    <w:p>
      <w:pPr>
        <w:pStyle w:val="31"/>
        <w:widowControl/>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（4）得分74 分以下的为不及格档次。    </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b/>
          <w:color w:val="auto"/>
          <w:kern w:val="0"/>
          <w:szCs w:val="21"/>
          <w:highlight w:val="none"/>
        </w:rPr>
        <w:t xml:space="preserve"> 三、扣罚办法</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1、日常工作扣罚：在日常巡查中，如发现中标人违反本合同相关管养条例，采购人则按照本合同中《新区绿化景观综合管养考核评分办法》对中标人发出处罚决定书进行处罚。</w:t>
      </w:r>
    </w:p>
    <w:p>
      <w:pPr>
        <w:pStyle w:val="31"/>
        <w:widowControl/>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2、月度评分扣罚：月度评分扣罚，及格以下每扣1分扣500元。月度考核连续两个月不及格，暂停承包款支付。</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3、季度扣罚：按月度评分综合平均分计。及格以下每扣1分扣1000元。年度内连续两个季度或以上检查得分不及格，采购人有权立即与中标人终止养护承包合同。</w:t>
      </w:r>
    </w:p>
    <w:p>
      <w:pPr>
        <w:pStyle w:val="31"/>
        <w:widowControl/>
        <w:numPr>
          <w:ilvl w:val="0"/>
          <w:numId w:val="3"/>
        </w:numPr>
        <w:spacing w:line="56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年度履约考核。实行一年一考核一签合同的办法，中标人在合同期内经云浮新区综合服务中心（代建服务中心）组织的管养作业年度履约考核合格，承包期内续签管养合同。合同期内的管养作业年度履约考核不合格，采购人不再与中标人续签管养合同，重新组织招标采购确定管养单位，并没收合同履约保证金及有权要求中标人赔偿相关经济损失。</w:t>
      </w:r>
    </w:p>
    <w:p>
      <w:pPr>
        <w:pStyle w:val="31"/>
        <w:widowControl/>
        <w:spacing w:line="56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5、年度履约考核不合格、年度内连续两个季度或以上检查得分不及格，中标人在今后三年内不得参加云浮新区内政府采购、建设工程招标项目的投标报名，所造成的一切经济损失和法律责任由中标人承担。</w:t>
      </w:r>
    </w:p>
    <w:p>
      <w:pPr>
        <w:spacing w:line="560" w:lineRule="exact"/>
        <w:ind w:firstLine="422" w:firstLineChars="200"/>
        <w:rPr>
          <w:rFonts w:hint="eastAsia" w:ascii="宋体" w:hAnsi="宋体" w:eastAsia="宋体" w:cs="宋体"/>
          <w:b/>
          <w:color w:val="auto"/>
          <w:szCs w:val="21"/>
          <w:highlight w:val="none"/>
        </w:rPr>
      </w:pPr>
      <w:r>
        <w:rPr>
          <w:rFonts w:hint="eastAsia" w:ascii="宋体" w:hAnsi="宋体" w:eastAsia="宋体" w:cs="宋体"/>
          <w:b/>
          <w:color w:val="auto"/>
          <w:kern w:val="0"/>
          <w:szCs w:val="21"/>
          <w:highlight w:val="none"/>
          <w:lang w:bidi="ar"/>
        </w:rPr>
        <w:t>四、</w:t>
      </w:r>
      <w:r>
        <w:rPr>
          <w:rFonts w:hint="eastAsia" w:ascii="宋体" w:hAnsi="宋体" w:eastAsia="宋体" w:cs="宋体"/>
          <w:b/>
          <w:color w:val="auto"/>
          <w:szCs w:val="21"/>
          <w:highlight w:val="none"/>
          <w:lang w:bidi="ar"/>
        </w:rPr>
        <w:t>管养期内，中标人在采购人从事养护工作的养护业绩、信誉、实力等将做为该企业的信用档案，上报相关部门备案，作为今后企业年检和绿化工程招投标的综合评分依据。</w:t>
      </w:r>
    </w:p>
    <w:p>
      <w:pPr>
        <w:spacing w:line="560" w:lineRule="exact"/>
        <w:ind w:firstLine="420" w:firstLineChars="200"/>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spacing w:line="560" w:lineRule="exact"/>
        <w:rPr>
          <w:rFonts w:hint="eastAsia" w:ascii="宋体" w:hAnsi="宋体" w:cs="宋体"/>
          <w:b/>
          <w:color w:val="auto"/>
          <w:szCs w:val="21"/>
          <w:highlight w:val="none"/>
        </w:rPr>
      </w:pPr>
    </w:p>
    <w:p>
      <w:pPr>
        <w:bidi w:val="0"/>
        <w:rPr>
          <w:rFonts w:hint="eastAsia"/>
          <w:lang w:val="en-US" w:eastAsia="zh-CN"/>
        </w:rPr>
      </w:pPr>
    </w:p>
    <w:p>
      <w:pPr>
        <w:bidi w:val="0"/>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附件2</w:t>
      </w:r>
    </w:p>
    <w:tbl>
      <w:tblPr>
        <w:tblStyle w:val="10"/>
        <w:tblW w:w="9779" w:type="dxa"/>
        <w:tblInd w:w="0" w:type="dxa"/>
        <w:tblLayout w:type="fixed"/>
        <w:tblCellMar>
          <w:top w:w="0" w:type="dxa"/>
          <w:left w:w="0" w:type="dxa"/>
          <w:bottom w:w="0" w:type="dxa"/>
          <w:right w:w="0" w:type="dxa"/>
        </w:tblCellMar>
      </w:tblPr>
      <w:tblGrid>
        <w:gridCol w:w="552"/>
        <w:gridCol w:w="8073"/>
        <w:gridCol w:w="99"/>
        <w:gridCol w:w="505"/>
        <w:gridCol w:w="550"/>
      </w:tblGrid>
      <w:tr>
        <w:tblPrEx>
          <w:tblCellMar>
            <w:top w:w="0" w:type="dxa"/>
            <w:left w:w="0" w:type="dxa"/>
            <w:bottom w:w="0" w:type="dxa"/>
            <w:right w:w="0" w:type="dxa"/>
          </w:tblCellMar>
        </w:tblPrEx>
        <w:trPr>
          <w:trHeight w:val="600" w:hRule="atLeast"/>
        </w:trPr>
        <w:tc>
          <w:tcPr>
            <w:tcW w:w="9779" w:type="dxa"/>
            <w:gridSpan w:val="5"/>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新区绿化景观综合管养检查评分标准</w:t>
            </w:r>
          </w:p>
        </w:tc>
      </w:tr>
      <w:tr>
        <w:tblPrEx>
          <w:tblCellMar>
            <w:top w:w="0" w:type="dxa"/>
            <w:left w:w="0" w:type="dxa"/>
            <w:bottom w:w="0" w:type="dxa"/>
            <w:right w:w="0" w:type="dxa"/>
          </w:tblCellMar>
        </w:tblPrEx>
        <w:trPr>
          <w:trHeight w:val="273" w:hRule="atLeast"/>
        </w:trPr>
        <w:tc>
          <w:tcPr>
            <w:tcW w:w="552" w:type="dxa"/>
            <w:noWrap w:val="0"/>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c>
          <w:tcPr>
            <w:tcW w:w="9227" w:type="dxa"/>
            <w:gridSpan w:val="4"/>
            <w:tcBorders>
              <w:right w:val="nil"/>
            </w:tcBorders>
            <w:noWrap w:val="0"/>
            <w:tcMar>
              <w:top w:w="15" w:type="dxa"/>
              <w:left w:w="15" w:type="dxa"/>
              <w:right w:w="15" w:type="dxa"/>
            </w:tcMar>
            <w:vAlign w:val="center"/>
          </w:tcPr>
          <w:p>
            <w:pPr>
              <w:widowControl/>
              <w:jc w:val="right"/>
              <w:textAlignment w:val="center"/>
              <w:rPr>
                <w:rFonts w:hint="eastAsia" w:ascii="宋体" w:hAnsi="宋体" w:eastAsia="宋体" w:cs="宋体"/>
                <w:color w:val="auto"/>
                <w:kern w:val="0"/>
                <w:sz w:val="21"/>
                <w:szCs w:val="21"/>
                <w:highlight w:val="none"/>
                <w:lang w:eastAsia="zh-CN" w:bidi="ar"/>
              </w:rPr>
            </w:pPr>
          </w:p>
          <w:p>
            <w:pPr>
              <w:widowControl/>
              <w:jc w:val="righ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总分：100分</w:t>
            </w: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序号</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评分项目</w:t>
            </w:r>
          </w:p>
        </w:tc>
        <w:tc>
          <w:tcPr>
            <w:tcW w:w="604" w:type="dxa"/>
            <w:gridSpan w:val="2"/>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分值</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 xml:space="preserve">得分 </w:t>
            </w: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一</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环境卫生</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20</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762"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不按规定安排清扫保洁人员按时作业，生产作业垃圾未及时清理，使垃圾过夜、裸露堆放在路面或绿地内，一次扣1分，累计超过3次/月，扣全分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园林绿化范围内有垃圾及杂物、鼠洞、蚊蝇滋生现象，一处扣0.5分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树挂污染物或杂物挂在树上不及时清理或无清理，一处扣0.5分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生产作业垃圾清运过程不规范，撒落路面未及时整改，一次扣0.5分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生产工具堆放在绿地内，一次扣1分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679"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6</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不及时制止在公园内乱挂标语横幅、乱摆乱卖、晾衣服、烧烤以及各类自行车、机动车、人力车在绿地内行驶或停放的行为；发现一处扣1分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7</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出现焚烧垃圾现象的，发现一次扣1分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二</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施肥</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施肥后不淋水或施在灌木的叶面上；过量或不均勾引起肥伤，面积超过10平方米的全扣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采用不合格肥料，造成植物烧伤或死亡的全扣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三</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病虫害防治</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用药不当，造成要害，导致植物生长不良或死亡情况的，全扣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使用不符合国家环保标准的药物或国家禁药，全扣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大面积出现病虫害超10%的（按同一地段同一品种计算），全扣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四</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修剪</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15</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82"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草地修剪高度未控制在：台湾草5cm以下，大叶油草、假俭草、沿阶草10cm以下，蟛蜞菊30cm以下，每次扣1分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草坪修剪出现大面积干尖或波浪大现象，面积超100㎡的，每次扣1分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边角，路基石旁草坪未进行修边，全扣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地被\绿篱\花坛层次不清,出现断层或残缺，严重影响景观效果的，全扣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乔灌木未及时修剪，出现10株以上存在荫芽、荫枝、下垂枝、枯病枝的，全扣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6</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乔灌木不按规范修剪，出现大伤口，剪口，留有树钉的，按每株扣罚0.5分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五</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除草松土</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除草时未应利用工具连根拔起，只从茎部中间拔断的，发现一处扣0.5分，超过10㎡的，全扣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除杂草松土造成伤根或根系裸露的，发现一处扣0.5分，超过10㎡的，全扣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草坪杂草率高于3%，地被有杂草、寄生藤、土壤板结的，发现一处扣0.5分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没有清理园林绿化边缘线外2米范围内空地杂草，发现一处扣0.5分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六</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绿化淋水</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水份不足致使植物生长不良、干枯、死亡,土壤板结等情况，全扣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泥土枯叶冲出绿化带影响环境，发现一处扣0.5分，超好4小时未清理的，全扣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使用高压水枪直接喷射植物造成树木损伤，发现一次扣1分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七</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园建设施</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12</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108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园建设施基本完好，并得到合理维护。园路、铺装广场应整洁完好。如发现变形、下沉或危及游人时，应在7天内修复，照明设施、灯饰等如有损坏、3天内更换；园林小品饰面层剥离、实体破损应在10天内修复，如没有按照上述要求处理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99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钢结构每年涂刷油漆一次，防止表面生锈；木质构件要做好防止白蚁等蛀虫的工作。铁质围栏、护树架、门窗、灯杆等定期进行翻新、油漆，施工应符合GB50212-91的规定，发现一处出现陈旧或掉漆且没有进行翻新的，每处扣1分，发现后超过3天未翻新修复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8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园建设施清洁卫生，发现一处保洁不到位的，每处扣0.5分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八</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应急作业</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66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出现树木倒伏现象的，不及时进行扶树、护树、清除断枝、落叶及断树；草坪积水超过24小时。每发现一处扣1分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九</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安全作业</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735"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不遵守国家和地方道路交通管理规定，因作业造成交通堵塞；作业时范围存在安全隐患时，未对现场进行围闭，并设置警示标志或围蔽暂停开放的或其他防控措施的，全扣</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705"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员工作业时不按要求穿戴制服、反光带、反光帽、袖套，实施规范安全作业。每发现1人扣1分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705"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未及时制止在公园等禁止游泳、戏水、垂钓等的水域内游泳、戏水、垂钓的游客，每发现一次扣2分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39" w:hRule="atLeast"/>
        </w:trPr>
        <w:tc>
          <w:tcPr>
            <w:tcW w:w="5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十</w:t>
            </w:r>
          </w:p>
        </w:tc>
        <w:tc>
          <w:tcPr>
            <w:tcW w:w="80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合计得分</w:t>
            </w:r>
          </w:p>
        </w:tc>
        <w:tc>
          <w:tcPr>
            <w:tcW w:w="60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w:t>
            </w:r>
          </w:p>
        </w:tc>
        <w:tc>
          <w:tcPr>
            <w:tcW w:w="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90" w:hRule="atLeast"/>
        </w:trPr>
        <w:tc>
          <w:tcPr>
            <w:tcW w:w="977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after="240"/>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存在问题与建议：</w:t>
            </w:r>
          </w:p>
        </w:tc>
      </w:tr>
      <w:tr>
        <w:tblPrEx>
          <w:tblCellMar>
            <w:top w:w="0" w:type="dxa"/>
            <w:left w:w="0" w:type="dxa"/>
            <w:bottom w:w="0" w:type="dxa"/>
            <w:right w:w="0" w:type="dxa"/>
          </w:tblCellMar>
        </w:tblPrEx>
        <w:trPr>
          <w:trHeight w:val="635" w:hRule="atLeast"/>
        </w:trPr>
        <w:tc>
          <w:tcPr>
            <w:tcW w:w="977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验收人员签名：                                     日期：       年     月     日</w:t>
            </w:r>
          </w:p>
        </w:tc>
      </w:tr>
      <w:tr>
        <w:tblPrEx>
          <w:tblCellMar>
            <w:top w:w="0" w:type="dxa"/>
            <w:left w:w="0" w:type="dxa"/>
            <w:bottom w:w="0" w:type="dxa"/>
            <w:right w:w="0" w:type="dxa"/>
          </w:tblCellMar>
        </w:tblPrEx>
        <w:trPr>
          <w:trHeight w:val="770" w:hRule="atLeast"/>
        </w:trPr>
        <w:tc>
          <w:tcPr>
            <w:tcW w:w="977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受检单位签名确认（盖章）：                         日期：       年     月     日</w:t>
            </w:r>
          </w:p>
        </w:tc>
      </w:tr>
      <w:tr>
        <w:tblPrEx>
          <w:tblCellMar>
            <w:top w:w="0" w:type="dxa"/>
            <w:left w:w="0" w:type="dxa"/>
            <w:bottom w:w="0" w:type="dxa"/>
            <w:right w:w="0" w:type="dxa"/>
          </w:tblCellMar>
        </w:tblPrEx>
        <w:trPr>
          <w:trHeight w:val="285" w:hRule="atLeast"/>
        </w:trPr>
        <w:tc>
          <w:tcPr>
            <w:tcW w:w="8724" w:type="dxa"/>
            <w:gridSpan w:val="3"/>
            <w:noWrap/>
            <w:tcMar>
              <w:top w:w="15" w:type="dxa"/>
              <w:left w:w="15" w:type="dxa"/>
              <w:right w:w="15" w:type="dxa"/>
            </w:tcMar>
            <w:vAlign w:val="center"/>
          </w:tcPr>
          <w:p>
            <w:pPr>
              <w:widowControl/>
              <w:jc w:val="left"/>
              <w:textAlignment w:val="center"/>
              <w:rPr>
                <w:rFonts w:hint="eastAsia" w:ascii="宋体" w:hAnsi="宋体" w:eastAsia="宋体" w:cs="宋体"/>
                <w:color w:val="auto"/>
                <w:kern w:val="0"/>
                <w:sz w:val="21"/>
                <w:szCs w:val="21"/>
                <w:highlight w:val="none"/>
                <w:lang w:bidi="ar"/>
              </w:rPr>
            </w:pPr>
          </w:p>
          <w:p>
            <w:pPr>
              <w:widowControl/>
              <w:jc w:val="left"/>
              <w:textAlignment w:val="center"/>
              <w:rPr>
                <w:rFonts w:hint="eastAsia" w:ascii="宋体" w:hAnsi="宋体" w:eastAsia="宋体" w:cs="宋体"/>
                <w:color w:val="auto"/>
                <w:kern w:val="0"/>
                <w:sz w:val="21"/>
                <w:szCs w:val="21"/>
                <w:highlight w:val="none"/>
                <w:lang w:bidi="ar"/>
              </w:rPr>
            </w:pPr>
          </w:p>
          <w:p>
            <w:pPr>
              <w:widowControl/>
              <w:jc w:val="left"/>
              <w:textAlignment w:val="center"/>
              <w:rPr>
                <w:rFonts w:hint="eastAsia" w:ascii="宋体" w:hAnsi="宋体" w:eastAsia="宋体" w:cs="宋体"/>
                <w:color w:val="auto"/>
                <w:kern w:val="0"/>
                <w:sz w:val="21"/>
                <w:szCs w:val="21"/>
                <w:highlight w:val="none"/>
                <w:lang w:bidi="ar"/>
              </w:rPr>
            </w:pPr>
          </w:p>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附件3</w:t>
            </w:r>
          </w:p>
        </w:tc>
        <w:tc>
          <w:tcPr>
            <w:tcW w:w="1055" w:type="dxa"/>
            <w:gridSpan w:val="2"/>
            <w:noWrap/>
            <w:tcMar>
              <w:top w:w="15" w:type="dxa"/>
              <w:left w:w="15" w:type="dxa"/>
              <w:right w:w="15" w:type="dxa"/>
            </w:tcMar>
            <w:vAlign w:val="center"/>
          </w:tcPr>
          <w:p>
            <w:pPr>
              <w:jc w:val="left"/>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50" w:hRule="atLeast"/>
        </w:trPr>
        <w:tc>
          <w:tcPr>
            <w:tcW w:w="9779" w:type="dxa"/>
            <w:gridSpan w:val="5"/>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 xml:space="preserve">新区绿化景观综合管养扣罚标准    </w:t>
            </w:r>
          </w:p>
        </w:tc>
      </w:tr>
      <w:tr>
        <w:tblPrEx>
          <w:tblCellMar>
            <w:top w:w="0" w:type="dxa"/>
            <w:left w:w="0" w:type="dxa"/>
            <w:bottom w:w="0" w:type="dxa"/>
            <w:right w:w="0" w:type="dxa"/>
          </w:tblCellMar>
        </w:tblPrEx>
        <w:trPr>
          <w:trHeight w:val="420" w:hRule="atLeast"/>
        </w:trPr>
        <w:tc>
          <w:tcPr>
            <w:tcW w:w="552" w:type="dxa"/>
            <w:noWrap/>
            <w:tcMar>
              <w:top w:w="15" w:type="dxa"/>
              <w:left w:w="15" w:type="dxa"/>
              <w:right w:w="15" w:type="dxa"/>
            </w:tcMar>
            <w:vAlign w:val="center"/>
          </w:tcPr>
          <w:p>
            <w:pPr>
              <w:rPr>
                <w:rFonts w:hint="eastAsia" w:ascii="宋体" w:hAnsi="宋体" w:eastAsia="宋体" w:cs="宋体"/>
                <w:color w:val="auto"/>
                <w:sz w:val="21"/>
                <w:szCs w:val="21"/>
                <w:highlight w:val="none"/>
              </w:rPr>
            </w:pPr>
          </w:p>
        </w:tc>
        <w:tc>
          <w:tcPr>
            <w:tcW w:w="8172" w:type="dxa"/>
            <w:gridSpan w:val="2"/>
            <w:noWrap/>
            <w:tcMar>
              <w:top w:w="15" w:type="dxa"/>
              <w:left w:w="15" w:type="dxa"/>
              <w:right w:w="15" w:type="dxa"/>
            </w:tcMar>
            <w:vAlign w:val="center"/>
          </w:tcPr>
          <w:p>
            <w:pPr>
              <w:rPr>
                <w:rFonts w:hint="eastAsia" w:ascii="宋体" w:hAnsi="宋体" w:eastAsia="宋体" w:cs="宋体"/>
                <w:color w:val="auto"/>
                <w:sz w:val="21"/>
                <w:szCs w:val="21"/>
                <w:highlight w:val="none"/>
              </w:rPr>
            </w:pPr>
          </w:p>
        </w:tc>
        <w:tc>
          <w:tcPr>
            <w:tcW w:w="1055" w:type="dxa"/>
            <w:gridSpan w:val="2"/>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单位：元</w:t>
            </w:r>
          </w:p>
        </w:tc>
      </w:tr>
      <w:tr>
        <w:tblPrEx>
          <w:tblCellMar>
            <w:top w:w="0" w:type="dxa"/>
            <w:left w:w="0" w:type="dxa"/>
            <w:bottom w:w="0" w:type="dxa"/>
            <w:right w:w="0" w:type="dxa"/>
          </w:tblCellMar>
        </w:tblPrEx>
        <w:trPr>
          <w:trHeight w:val="46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序号</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评分项目</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扣罚</w:t>
            </w:r>
          </w:p>
        </w:tc>
      </w:tr>
      <w:tr>
        <w:tblPrEx>
          <w:tblCellMar>
            <w:top w:w="0" w:type="dxa"/>
            <w:left w:w="0" w:type="dxa"/>
            <w:bottom w:w="0" w:type="dxa"/>
            <w:right w:w="0" w:type="dxa"/>
          </w:tblCellMar>
        </w:tblPrEx>
        <w:trPr>
          <w:trHeight w:val="43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一</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环境卫生</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不按规定安排清扫保洁人员按时作业</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500/次</w:t>
            </w:r>
          </w:p>
        </w:tc>
      </w:tr>
      <w:tr>
        <w:tblPrEx>
          <w:tblCellMar>
            <w:top w:w="0" w:type="dxa"/>
            <w:left w:w="0" w:type="dxa"/>
            <w:bottom w:w="0" w:type="dxa"/>
            <w:right w:w="0" w:type="dxa"/>
          </w:tblCellMar>
        </w:tblPrEx>
        <w:trPr>
          <w:trHeight w:val="54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园林绿化范围内有垃圾及杂物、鼠洞、蚊蝇滋生；同一路段超过三处起计罚</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200/处</w:t>
            </w:r>
          </w:p>
        </w:tc>
      </w:tr>
      <w:tr>
        <w:tblPrEx>
          <w:tblCellMar>
            <w:top w:w="0" w:type="dxa"/>
            <w:left w:w="0" w:type="dxa"/>
            <w:bottom w:w="0" w:type="dxa"/>
            <w:right w:w="0" w:type="dxa"/>
          </w:tblCellMar>
        </w:tblPrEx>
        <w:trPr>
          <w:trHeight w:val="52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树挂污染物或杂物挂在树上不及时清理或无清理</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300/次</w:t>
            </w:r>
          </w:p>
        </w:tc>
      </w:tr>
      <w:tr>
        <w:tblPrEx>
          <w:tblCellMar>
            <w:top w:w="0" w:type="dxa"/>
            <w:left w:w="0" w:type="dxa"/>
            <w:bottom w:w="0" w:type="dxa"/>
            <w:right w:w="0" w:type="dxa"/>
          </w:tblCellMar>
        </w:tblPrEx>
        <w:trPr>
          <w:trHeight w:val="4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作业垃圾不及时清运，使垃圾过夜裸露堆放在路面或产生积压</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500/次</w:t>
            </w:r>
          </w:p>
        </w:tc>
      </w:tr>
      <w:tr>
        <w:tblPrEx>
          <w:tblCellMar>
            <w:top w:w="0" w:type="dxa"/>
            <w:left w:w="0" w:type="dxa"/>
            <w:bottom w:w="0" w:type="dxa"/>
            <w:right w:w="0" w:type="dxa"/>
          </w:tblCellMar>
        </w:tblPrEx>
        <w:trPr>
          <w:trHeight w:val="4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生产工具堆放在绿地内</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1000/次</w:t>
            </w:r>
          </w:p>
        </w:tc>
      </w:tr>
      <w:tr>
        <w:tblPrEx>
          <w:tblCellMar>
            <w:top w:w="0" w:type="dxa"/>
            <w:left w:w="0" w:type="dxa"/>
            <w:bottom w:w="0" w:type="dxa"/>
            <w:right w:w="0" w:type="dxa"/>
          </w:tblCellMar>
        </w:tblPrEx>
        <w:trPr>
          <w:trHeight w:val="64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6</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不及时制止在公园内乱挂标语横幅、乱摆乱卖、晾衣服、烧烤以及各类自行车、机动车、人力车在绿地内行驶或停放的行为</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200/处</w:t>
            </w:r>
          </w:p>
        </w:tc>
      </w:tr>
      <w:tr>
        <w:tblPrEx>
          <w:tblCellMar>
            <w:top w:w="0" w:type="dxa"/>
            <w:left w:w="0" w:type="dxa"/>
            <w:bottom w:w="0" w:type="dxa"/>
            <w:right w:w="0" w:type="dxa"/>
          </w:tblCellMar>
        </w:tblPrEx>
        <w:trPr>
          <w:trHeight w:val="51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7</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出现焚烧垃圾现象的，每发现一次</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10000/次</w:t>
            </w:r>
          </w:p>
        </w:tc>
      </w:tr>
      <w:tr>
        <w:tblPrEx>
          <w:tblCellMar>
            <w:top w:w="0" w:type="dxa"/>
            <w:left w:w="0" w:type="dxa"/>
            <w:bottom w:w="0" w:type="dxa"/>
            <w:right w:w="0" w:type="dxa"/>
          </w:tblCellMar>
        </w:tblPrEx>
        <w:trPr>
          <w:trHeight w:val="48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二</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施肥</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69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施肥后不淋水或施在灌木的叶面上；过量或不均勾引起肥伤，面积超过1平方米的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500/m</w:t>
            </w:r>
            <w:r>
              <w:rPr>
                <w:rStyle w:val="32"/>
                <w:rFonts w:hint="eastAsia" w:ascii="宋体" w:hAnsi="宋体" w:eastAsia="宋体" w:cs="宋体"/>
                <w:color w:val="auto"/>
                <w:sz w:val="21"/>
                <w:szCs w:val="21"/>
                <w:highlight w:val="none"/>
                <w:lang w:bidi="ar"/>
              </w:rPr>
              <w:t>2</w:t>
            </w:r>
          </w:p>
        </w:tc>
      </w:tr>
      <w:tr>
        <w:tblPrEx>
          <w:tblCellMar>
            <w:top w:w="0" w:type="dxa"/>
            <w:left w:w="0" w:type="dxa"/>
            <w:bottom w:w="0" w:type="dxa"/>
            <w:right w:w="0" w:type="dxa"/>
          </w:tblCellMar>
        </w:tblPrEx>
        <w:trPr>
          <w:trHeight w:val="45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采用不合格肥料，造成植物烧伤或死亡的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5000/次</w:t>
            </w:r>
          </w:p>
        </w:tc>
      </w:tr>
      <w:tr>
        <w:tblPrEx>
          <w:tblCellMar>
            <w:top w:w="0" w:type="dxa"/>
            <w:left w:w="0" w:type="dxa"/>
            <w:bottom w:w="0" w:type="dxa"/>
            <w:right w:w="0" w:type="dxa"/>
          </w:tblCellMar>
        </w:tblPrEx>
        <w:trPr>
          <w:trHeight w:val="46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三</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病虫害防治</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用药不当，造成要害，导致植物生长不良或死亡情况的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300/次</w:t>
            </w: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使用不符合国家环保标准的药物或国家禁药</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10000/次</w:t>
            </w:r>
          </w:p>
        </w:tc>
      </w:tr>
      <w:tr>
        <w:tblPrEx>
          <w:tblCellMar>
            <w:top w:w="0" w:type="dxa"/>
            <w:left w:w="0" w:type="dxa"/>
            <w:bottom w:w="0" w:type="dxa"/>
            <w:right w:w="0" w:type="dxa"/>
          </w:tblCellMar>
        </w:tblPrEx>
        <w:trPr>
          <w:trHeight w:val="48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大面积出现病虫害超10%的（按同一地段同一品种计算）</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300/m</w:t>
            </w:r>
            <w:r>
              <w:rPr>
                <w:rStyle w:val="32"/>
                <w:rFonts w:hint="eastAsia" w:ascii="宋体" w:hAnsi="宋体" w:eastAsia="宋体" w:cs="宋体"/>
                <w:color w:val="auto"/>
                <w:sz w:val="21"/>
                <w:szCs w:val="21"/>
                <w:highlight w:val="none"/>
                <w:lang w:bidi="ar"/>
              </w:rPr>
              <w:t>2</w:t>
            </w:r>
          </w:p>
        </w:tc>
      </w:tr>
      <w:tr>
        <w:tblPrEx>
          <w:tblCellMar>
            <w:top w:w="0" w:type="dxa"/>
            <w:left w:w="0" w:type="dxa"/>
            <w:bottom w:w="0" w:type="dxa"/>
            <w:right w:w="0" w:type="dxa"/>
          </w:tblCellMar>
        </w:tblPrEx>
        <w:trPr>
          <w:trHeight w:val="43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四</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修剪</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67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草地修剪高度未控制在：台湾草5cm，大叶油草、假俭草、沿阶草10cm以下，蟛蜞菊30cm以下</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1000/次</w:t>
            </w:r>
          </w:p>
        </w:tc>
      </w:tr>
      <w:tr>
        <w:tblPrEx>
          <w:tblCellMar>
            <w:top w:w="0" w:type="dxa"/>
            <w:left w:w="0" w:type="dxa"/>
            <w:bottom w:w="0" w:type="dxa"/>
            <w:right w:w="0" w:type="dxa"/>
          </w:tblCellMar>
        </w:tblPrEx>
        <w:trPr>
          <w:trHeight w:val="4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草坪修剪出现大面积干尖或波浪大现象</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300/m</w:t>
            </w:r>
            <w:r>
              <w:rPr>
                <w:rStyle w:val="32"/>
                <w:rFonts w:hint="eastAsia" w:ascii="宋体" w:hAnsi="宋体" w:eastAsia="宋体" w:cs="宋体"/>
                <w:color w:val="auto"/>
                <w:sz w:val="21"/>
                <w:szCs w:val="21"/>
                <w:highlight w:val="none"/>
                <w:lang w:bidi="ar"/>
              </w:rPr>
              <w:t>2</w:t>
            </w:r>
          </w:p>
        </w:tc>
      </w:tr>
      <w:tr>
        <w:tblPrEx>
          <w:tblCellMar>
            <w:top w:w="0" w:type="dxa"/>
            <w:left w:w="0" w:type="dxa"/>
            <w:bottom w:w="0" w:type="dxa"/>
            <w:right w:w="0" w:type="dxa"/>
          </w:tblCellMar>
        </w:tblPrEx>
        <w:trPr>
          <w:trHeight w:val="51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边角，路基石旁草坪未进行修边</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500/米</w:t>
            </w:r>
          </w:p>
        </w:tc>
      </w:tr>
      <w:tr>
        <w:tblPrEx>
          <w:tblCellMar>
            <w:top w:w="0" w:type="dxa"/>
            <w:left w:w="0" w:type="dxa"/>
            <w:bottom w:w="0" w:type="dxa"/>
            <w:right w:w="0" w:type="dxa"/>
          </w:tblCellMar>
        </w:tblPrEx>
        <w:trPr>
          <w:trHeight w:val="51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地被\绿篱\花坛层次不清,出现断层或残缺，严重影响景观效果的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1000/次</w:t>
            </w:r>
          </w:p>
        </w:tc>
      </w:tr>
      <w:tr>
        <w:tblPrEx>
          <w:tblCellMar>
            <w:top w:w="0" w:type="dxa"/>
            <w:left w:w="0" w:type="dxa"/>
            <w:bottom w:w="0" w:type="dxa"/>
            <w:right w:w="0" w:type="dxa"/>
          </w:tblCellMar>
        </w:tblPrEx>
        <w:trPr>
          <w:trHeight w:val="48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乔灌木未及时修剪，同一路段出现10株以上存在荫芽、荫枝、下垂枝、枯病枝的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100/株</w:t>
            </w:r>
          </w:p>
        </w:tc>
      </w:tr>
      <w:tr>
        <w:tblPrEx>
          <w:tblCellMar>
            <w:top w:w="0" w:type="dxa"/>
            <w:left w:w="0" w:type="dxa"/>
            <w:bottom w:w="0" w:type="dxa"/>
            <w:right w:w="0" w:type="dxa"/>
          </w:tblCellMar>
        </w:tblPrEx>
        <w:trPr>
          <w:trHeight w:val="4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6</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乔灌木不按规范修剪，出现大伤口，剪口，留有树钉的，超过5株起计罚，按每株扣罚</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300/株</w:t>
            </w:r>
          </w:p>
        </w:tc>
      </w:tr>
      <w:tr>
        <w:tblPrEx>
          <w:tblCellMar>
            <w:top w:w="0" w:type="dxa"/>
            <w:left w:w="0" w:type="dxa"/>
            <w:bottom w:w="0" w:type="dxa"/>
            <w:right w:w="0" w:type="dxa"/>
          </w:tblCellMar>
        </w:tblPrEx>
        <w:trPr>
          <w:trHeight w:val="44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五</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除草松土</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1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除草时未应利用工具连根拔起，只从茎部中间拔断的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100/株</w:t>
            </w:r>
          </w:p>
        </w:tc>
      </w:tr>
      <w:tr>
        <w:tblPrEx>
          <w:tblCellMar>
            <w:top w:w="0" w:type="dxa"/>
            <w:left w:w="0" w:type="dxa"/>
            <w:bottom w:w="0" w:type="dxa"/>
            <w:right w:w="0" w:type="dxa"/>
          </w:tblCellMar>
        </w:tblPrEx>
        <w:trPr>
          <w:trHeight w:val="53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除杂草松土造成伤根或根系裸露的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300/次</w:t>
            </w:r>
          </w:p>
        </w:tc>
      </w:tr>
      <w:tr>
        <w:tblPrEx>
          <w:tblCellMar>
            <w:top w:w="0" w:type="dxa"/>
            <w:left w:w="0" w:type="dxa"/>
            <w:bottom w:w="0" w:type="dxa"/>
            <w:right w:w="0" w:type="dxa"/>
          </w:tblCellMar>
        </w:tblPrEx>
        <w:trPr>
          <w:trHeight w:val="42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草坪杂草率高于3%，地被有杂草、寄生藤、土壤板结的，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300/次</w:t>
            </w:r>
          </w:p>
        </w:tc>
      </w:tr>
      <w:tr>
        <w:tblPrEx>
          <w:tblCellMar>
            <w:top w:w="0" w:type="dxa"/>
            <w:left w:w="0" w:type="dxa"/>
            <w:bottom w:w="0" w:type="dxa"/>
            <w:right w:w="0" w:type="dxa"/>
          </w:tblCellMar>
        </w:tblPrEx>
        <w:trPr>
          <w:trHeight w:val="50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没有清理园林绿化边缘线外2米范围内空地杂草</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200/处</w:t>
            </w:r>
          </w:p>
        </w:tc>
      </w:tr>
      <w:tr>
        <w:tblPrEx>
          <w:tblCellMar>
            <w:top w:w="0" w:type="dxa"/>
            <w:left w:w="0" w:type="dxa"/>
            <w:bottom w:w="0" w:type="dxa"/>
            <w:right w:w="0" w:type="dxa"/>
          </w:tblCellMar>
        </w:tblPrEx>
        <w:trPr>
          <w:trHeight w:val="45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六</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绿化淋水</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水份不足致使植物生长不良、干枯、死亡、土壤板结等</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500/处</w:t>
            </w:r>
          </w:p>
        </w:tc>
      </w:tr>
      <w:tr>
        <w:tblPrEx>
          <w:tblCellMar>
            <w:top w:w="0" w:type="dxa"/>
            <w:left w:w="0" w:type="dxa"/>
            <w:bottom w:w="0" w:type="dxa"/>
            <w:right w:w="0"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泥土枯叶冲出绿化带影响环境</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300/处</w:t>
            </w:r>
          </w:p>
        </w:tc>
      </w:tr>
      <w:tr>
        <w:tblPrEx>
          <w:tblCellMar>
            <w:top w:w="0" w:type="dxa"/>
            <w:left w:w="0" w:type="dxa"/>
            <w:bottom w:w="0" w:type="dxa"/>
            <w:right w:w="0" w:type="dxa"/>
          </w:tblCellMar>
        </w:tblPrEx>
        <w:trPr>
          <w:trHeight w:val="52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使用高压水枪直接喷射植物造成树木损伤</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500/次</w:t>
            </w:r>
          </w:p>
        </w:tc>
      </w:tr>
      <w:tr>
        <w:tblPrEx>
          <w:tblCellMar>
            <w:top w:w="0" w:type="dxa"/>
            <w:left w:w="0" w:type="dxa"/>
            <w:bottom w:w="0" w:type="dxa"/>
            <w:right w:w="0" w:type="dxa"/>
          </w:tblCellMar>
        </w:tblPrEx>
        <w:trPr>
          <w:trHeight w:val="41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七</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园建设施</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70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1"/>
                <w:szCs w:val="21"/>
                <w:highlight w:val="none"/>
                <w:lang w:eastAsia="zh-CN" w:bidi="ar"/>
              </w:rPr>
            </w:pPr>
            <w:r>
              <w:rPr>
                <w:rFonts w:hint="eastAsia" w:ascii="宋体" w:hAnsi="宋体" w:eastAsia="宋体" w:cs="宋体"/>
                <w:color w:val="auto"/>
                <w:kern w:val="0"/>
                <w:sz w:val="21"/>
                <w:szCs w:val="21"/>
                <w:highlight w:val="none"/>
                <w:lang w:bidi="ar"/>
              </w:rPr>
              <w:t>园建设施变形、下沉或危及游人时，在7天内未修复，照明设施、灯饰有损坏、3天内</w:t>
            </w:r>
          </w:p>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未更换；园林小品饰面层剥离、实体破损7天内未修复的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500/处</w:t>
            </w:r>
          </w:p>
        </w:tc>
      </w:tr>
      <w:tr>
        <w:tblPrEx>
          <w:tblCellMar>
            <w:top w:w="0" w:type="dxa"/>
            <w:left w:w="0" w:type="dxa"/>
            <w:bottom w:w="0" w:type="dxa"/>
            <w:right w:w="0" w:type="dxa"/>
          </w:tblCellMar>
        </w:tblPrEx>
        <w:trPr>
          <w:trHeight w:val="51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钢结构表面生锈；木质构件有白蚁等蛀虫，铁质围栏、护树架、门窗、灯杆等破旧</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300/处</w:t>
            </w:r>
          </w:p>
        </w:tc>
      </w:tr>
      <w:tr>
        <w:tblPrEx>
          <w:tblCellMar>
            <w:top w:w="0" w:type="dxa"/>
            <w:left w:w="0" w:type="dxa"/>
            <w:bottom w:w="0" w:type="dxa"/>
            <w:right w:w="0" w:type="dxa"/>
          </w:tblCellMar>
        </w:tblPrEx>
        <w:trPr>
          <w:trHeight w:val="52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园建设施有污渍不及时清理的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200/处</w:t>
            </w:r>
          </w:p>
        </w:tc>
      </w:tr>
      <w:tr>
        <w:tblPrEx>
          <w:tblCellMar>
            <w:top w:w="0" w:type="dxa"/>
            <w:left w:w="0" w:type="dxa"/>
            <w:bottom w:w="0" w:type="dxa"/>
            <w:right w:w="0" w:type="dxa"/>
          </w:tblCellMar>
        </w:tblPrEx>
        <w:trPr>
          <w:trHeight w:val="41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八</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应急作业</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8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因自然灾害或特殊情况，不及时采取适当措施或不服从安排</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500/次</w:t>
            </w:r>
          </w:p>
        </w:tc>
      </w:tr>
      <w:tr>
        <w:tblPrEx>
          <w:tblCellMar>
            <w:top w:w="0" w:type="dxa"/>
            <w:left w:w="0" w:type="dxa"/>
            <w:bottom w:w="0" w:type="dxa"/>
            <w:right w:w="0" w:type="dxa"/>
          </w:tblCellMar>
        </w:tblPrEx>
        <w:trPr>
          <w:trHeight w:val="647"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出现树木倒伏现象的，不及时进行扶树、护树、清除断枝、落叶及断树；草坪积水超过24小时的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1000/处</w:t>
            </w:r>
          </w:p>
        </w:tc>
      </w:tr>
      <w:tr>
        <w:tblPrEx>
          <w:tblCellMar>
            <w:top w:w="0" w:type="dxa"/>
            <w:left w:w="0" w:type="dxa"/>
            <w:bottom w:w="0" w:type="dxa"/>
            <w:right w:w="0" w:type="dxa"/>
          </w:tblCellMar>
        </w:tblPrEx>
        <w:trPr>
          <w:trHeight w:val="42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未组成应急队伍，不服从应急调度</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10000/次</w:t>
            </w:r>
          </w:p>
        </w:tc>
      </w:tr>
      <w:tr>
        <w:tblPrEx>
          <w:tblCellMar>
            <w:top w:w="0" w:type="dxa"/>
            <w:left w:w="0" w:type="dxa"/>
            <w:bottom w:w="0" w:type="dxa"/>
            <w:right w:w="0" w:type="dxa"/>
          </w:tblCellMar>
        </w:tblPrEx>
        <w:trPr>
          <w:trHeight w:val="41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九</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安全作业</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8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不遵守国家和地方道路交通管理规定，因作业造成交通堵塞</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500/次</w:t>
            </w:r>
          </w:p>
        </w:tc>
      </w:tr>
      <w:tr>
        <w:tblPrEx>
          <w:tblCellMar>
            <w:top w:w="0" w:type="dxa"/>
            <w:left w:w="0" w:type="dxa"/>
            <w:bottom w:w="0" w:type="dxa"/>
            <w:right w:w="0" w:type="dxa"/>
          </w:tblCellMar>
        </w:tblPrEx>
        <w:trPr>
          <w:trHeight w:val="45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员工作业时不按要求穿戴制服、反光带、反光帽、袖套等</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500/人</w:t>
            </w:r>
          </w:p>
        </w:tc>
      </w:tr>
      <w:tr>
        <w:tblPrEx>
          <w:tblCellMar>
            <w:top w:w="0" w:type="dxa"/>
            <w:left w:w="0" w:type="dxa"/>
            <w:bottom w:w="0" w:type="dxa"/>
            <w:right w:w="0" w:type="dxa"/>
          </w:tblCellMar>
        </w:tblPrEx>
        <w:trPr>
          <w:trHeight w:val="54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在道路作业时，未设置安全警示标志或其他防范措施的</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500/次</w:t>
            </w:r>
          </w:p>
        </w:tc>
      </w:tr>
      <w:tr>
        <w:tblPrEx>
          <w:tblCellMar>
            <w:top w:w="0" w:type="dxa"/>
            <w:left w:w="0" w:type="dxa"/>
            <w:bottom w:w="0" w:type="dxa"/>
            <w:right w:w="0" w:type="dxa"/>
          </w:tblCellMar>
        </w:tblPrEx>
        <w:trPr>
          <w:trHeight w:val="3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十</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b/>
                <w:color w:val="auto"/>
                <w:sz w:val="21"/>
                <w:szCs w:val="21"/>
                <w:highlight w:val="none"/>
              </w:rPr>
            </w:pPr>
            <w:r>
              <w:rPr>
                <w:rFonts w:hint="eastAsia" w:ascii="宋体" w:hAnsi="宋体" w:eastAsia="宋体" w:cs="宋体"/>
                <w:b/>
                <w:color w:val="auto"/>
                <w:kern w:val="0"/>
                <w:sz w:val="21"/>
                <w:szCs w:val="21"/>
                <w:highlight w:val="none"/>
                <w:lang w:bidi="ar"/>
              </w:rPr>
              <w:t>其他</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43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81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未及时制止在公园等禁止游泳、戏水、垂钓等的水域内游泳、戏水、垂钓的游客</w:t>
            </w:r>
          </w:p>
        </w:tc>
        <w:tc>
          <w:tcPr>
            <w:tcW w:w="1055" w:type="dxa"/>
            <w:gridSpan w:val="2"/>
            <w:tcBorders>
              <w:top w:val="nil"/>
              <w:left w:val="nil"/>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1000/次</w:t>
            </w:r>
          </w:p>
        </w:tc>
      </w:tr>
      <w:tr>
        <w:tblPrEx>
          <w:tblCellMar>
            <w:top w:w="0" w:type="dxa"/>
            <w:left w:w="0" w:type="dxa"/>
            <w:bottom w:w="0" w:type="dxa"/>
            <w:right w:w="0" w:type="dxa"/>
          </w:tblCellMar>
        </w:tblPrEx>
        <w:trPr>
          <w:trHeight w:val="350"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没有按采购人要求调整不合格工作人员</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1000/次</w:t>
            </w:r>
          </w:p>
        </w:tc>
      </w:tr>
      <w:tr>
        <w:tblPrEx>
          <w:tblCellMar>
            <w:top w:w="0" w:type="dxa"/>
            <w:left w:w="0" w:type="dxa"/>
            <w:bottom w:w="0" w:type="dxa"/>
            <w:right w:w="0" w:type="dxa"/>
          </w:tblCellMar>
        </w:tblPrEx>
        <w:trPr>
          <w:trHeight w:val="495"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受媒体曝光或上级领导批评，造成恶劣影响，经核实确有其事</w:t>
            </w:r>
          </w:p>
        </w:tc>
        <w:tc>
          <w:tcPr>
            <w:tcW w:w="10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2000/次</w:t>
            </w:r>
          </w:p>
        </w:tc>
      </w:tr>
      <w:tr>
        <w:tblPrEx>
          <w:tblCellMar>
            <w:top w:w="0" w:type="dxa"/>
            <w:left w:w="0" w:type="dxa"/>
            <w:bottom w:w="0" w:type="dxa"/>
            <w:right w:w="0" w:type="dxa"/>
          </w:tblCellMar>
        </w:tblPrEx>
        <w:trPr>
          <w:trHeight w:val="462" w:hRule="atLeast"/>
        </w:trPr>
        <w:tc>
          <w:tcPr>
            <w:tcW w:w="55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817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月累计因各项工作不规范造成扣罚超过5次的</w:t>
            </w:r>
          </w:p>
        </w:tc>
        <w:tc>
          <w:tcPr>
            <w:tcW w:w="1055" w:type="dxa"/>
            <w:gridSpan w:val="2"/>
            <w:tcBorders>
              <w:top w:val="nil"/>
              <w:left w:val="nil"/>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1000/次</w:t>
            </w:r>
          </w:p>
        </w:tc>
      </w:tr>
    </w:tbl>
    <w:p>
      <w:pPr>
        <w:rPr>
          <w:rFonts w:hint="default"/>
          <w:lang w:val="en-US" w:eastAsia="zh-CN"/>
        </w:rPr>
      </w:pPr>
    </w:p>
    <w:sectPr>
      <w:headerReference r:id="rId5" w:type="default"/>
      <w:footerReference r:id="rId6" w:type="default"/>
      <w:type w:val="continuous"/>
      <w:pgSz w:w="11900" w:h="16840"/>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SimSun-ExtB"/>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微软雅黑"/>
    <w:panose1 w:val="02010609030101010101"/>
    <w:charset w:val="86"/>
    <w:family w:val="modern"/>
    <w:pitch w:val="default"/>
    <w:sig w:usb0="00000000" w:usb1="0000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SimSun-ExtB">
    <w:panose1 w:val="02010609060101010101"/>
    <w:charset w:val="86"/>
    <w:family w:val="auto"/>
    <w:pitch w:val="default"/>
    <w:sig w:usb0="00000001" w:usb1="02000000" w:usb2="00000000"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0109758"/>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0E27C"/>
    <w:multiLevelType w:val="multilevel"/>
    <w:tmpl w:val="93E0E27C"/>
    <w:lvl w:ilvl="0" w:tentative="0">
      <w:start w:val="3"/>
      <w:numFmt w:val="decimal"/>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1CF921A"/>
    <w:multiLevelType w:val="multilevel"/>
    <w:tmpl w:val="21CF921A"/>
    <w:lvl w:ilvl="0" w:tentative="0">
      <w:start w:val="4"/>
      <w:numFmt w:val="decimal"/>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5B000B4"/>
    <w:multiLevelType w:val="multilevel"/>
    <w:tmpl w:val="55B000B4"/>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lNTlkZGEzY2Q0ZWJkNTQ1ZjgyN2UzODI2OWUxYWUifQ=="/>
  </w:docVars>
  <w:rsids>
    <w:rsidRoot w:val="008F294C"/>
    <w:rsid w:val="00017EC7"/>
    <w:rsid w:val="0003109B"/>
    <w:rsid w:val="00033C45"/>
    <w:rsid w:val="0005284C"/>
    <w:rsid w:val="00054A11"/>
    <w:rsid w:val="000762D5"/>
    <w:rsid w:val="000935C6"/>
    <w:rsid w:val="000A7AFC"/>
    <w:rsid w:val="000B2854"/>
    <w:rsid w:val="000C429D"/>
    <w:rsid w:val="000E6FC2"/>
    <w:rsid w:val="001003C8"/>
    <w:rsid w:val="0011378F"/>
    <w:rsid w:val="001250A0"/>
    <w:rsid w:val="001260A5"/>
    <w:rsid w:val="0016016F"/>
    <w:rsid w:val="001834EA"/>
    <w:rsid w:val="001F72EA"/>
    <w:rsid w:val="002001EF"/>
    <w:rsid w:val="002033DB"/>
    <w:rsid w:val="00212F08"/>
    <w:rsid w:val="002169C6"/>
    <w:rsid w:val="002175D5"/>
    <w:rsid w:val="0022176A"/>
    <w:rsid w:val="00225A3F"/>
    <w:rsid w:val="00245536"/>
    <w:rsid w:val="0025311A"/>
    <w:rsid w:val="00254F64"/>
    <w:rsid w:val="00255E05"/>
    <w:rsid w:val="00276DCD"/>
    <w:rsid w:val="002C181E"/>
    <w:rsid w:val="002C3634"/>
    <w:rsid w:val="002E4D1F"/>
    <w:rsid w:val="00314F7E"/>
    <w:rsid w:val="00317C9C"/>
    <w:rsid w:val="0032514A"/>
    <w:rsid w:val="003437B1"/>
    <w:rsid w:val="00344C2F"/>
    <w:rsid w:val="0035465B"/>
    <w:rsid w:val="00362B69"/>
    <w:rsid w:val="00385822"/>
    <w:rsid w:val="00385995"/>
    <w:rsid w:val="003928D9"/>
    <w:rsid w:val="003E413B"/>
    <w:rsid w:val="003F1CC5"/>
    <w:rsid w:val="003F60A1"/>
    <w:rsid w:val="00412469"/>
    <w:rsid w:val="00424A97"/>
    <w:rsid w:val="004462FE"/>
    <w:rsid w:val="004678AA"/>
    <w:rsid w:val="00475E63"/>
    <w:rsid w:val="004765E2"/>
    <w:rsid w:val="0048273F"/>
    <w:rsid w:val="00482D8C"/>
    <w:rsid w:val="00495EBA"/>
    <w:rsid w:val="004D68A6"/>
    <w:rsid w:val="004E0223"/>
    <w:rsid w:val="004F0BA3"/>
    <w:rsid w:val="005054ED"/>
    <w:rsid w:val="0050637C"/>
    <w:rsid w:val="00513686"/>
    <w:rsid w:val="00535489"/>
    <w:rsid w:val="00564C6D"/>
    <w:rsid w:val="00572F3B"/>
    <w:rsid w:val="00597A7C"/>
    <w:rsid w:val="005A55DD"/>
    <w:rsid w:val="005A5926"/>
    <w:rsid w:val="005C43B4"/>
    <w:rsid w:val="005C71D6"/>
    <w:rsid w:val="005F4DB6"/>
    <w:rsid w:val="00600E35"/>
    <w:rsid w:val="0060634A"/>
    <w:rsid w:val="00653B6E"/>
    <w:rsid w:val="00663784"/>
    <w:rsid w:val="006725E6"/>
    <w:rsid w:val="006A7115"/>
    <w:rsid w:val="006A78FE"/>
    <w:rsid w:val="006B6A96"/>
    <w:rsid w:val="006E4B91"/>
    <w:rsid w:val="006F1648"/>
    <w:rsid w:val="00710B61"/>
    <w:rsid w:val="00721ECA"/>
    <w:rsid w:val="007263B4"/>
    <w:rsid w:val="00745DA6"/>
    <w:rsid w:val="00747877"/>
    <w:rsid w:val="00757E0E"/>
    <w:rsid w:val="007879F5"/>
    <w:rsid w:val="00795440"/>
    <w:rsid w:val="007A5ACA"/>
    <w:rsid w:val="007C68B1"/>
    <w:rsid w:val="00801555"/>
    <w:rsid w:val="0080439A"/>
    <w:rsid w:val="00805922"/>
    <w:rsid w:val="0081176D"/>
    <w:rsid w:val="00811888"/>
    <w:rsid w:val="0083635E"/>
    <w:rsid w:val="00841D3F"/>
    <w:rsid w:val="00860E4A"/>
    <w:rsid w:val="0089687D"/>
    <w:rsid w:val="0089739C"/>
    <w:rsid w:val="008C41B2"/>
    <w:rsid w:val="008D3B15"/>
    <w:rsid w:val="008F294C"/>
    <w:rsid w:val="009004DB"/>
    <w:rsid w:val="00901872"/>
    <w:rsid w:val="00925546"/>
    <w:rsid w:val="00937842"/>
    <w:rsid w:val="00965317"/>
    <w:rsid w:val="00970F35"/>
    <w:rsid w:val="009778C7"/>
    <w:rsid w:val="00984983"/>
    <w:rsid w:val="009B15EB"/>
    <w:rsid w:val="009D6B77"/>
    <w:rsid w:val="009E5390"/>
    <w:rsid w:val="00A01D02"/>
    <w:rsid w:val="00A153A7"/>
    <w:rsid w:val="00A52B45"/>
    <w:rsid w:val="00A64B7B"/>
    <w:rsid w:val="00A93230"/>
    <w:rsid w:val="00AC0453"/>
    <w:rsid w:val="00AE6905"/>
    <w:rsid w:val="00AF17C0"/>
    <w:rsid w:val="00B270BA"/>
    <w:rsid w:val="00B705A2"/>
    <w:rsid w:val="00B968B6"/>
    <w:rsid w:val="00BC1838"/>
    <w:rsid w:val="00BC4524"/>
    <w:rsid w:val="00BD789C"/>
    <w:rsid w:val="00BE1A28"/>
    <w:rsid w:val="00BE4E22"/>
    <w:rsid w:val="00C00265"/>
    <w:rsid w:val="00C014DB"/>
    <w:rsid w:val="00C119F8"/>
    <w:rsid w:val="00C15EE4"/>
    <w:rsid w:val="00C31CEC"/>
    <w:rsid w:val="00C55A1E"/>
    <w:rsid w:val="00C62E68"/>
    <w:rsid w:val="00C64291"/>
    <w:rsid w:val="00C716DF"/>
    <w:rsid w:val="00CD0F7A"/>
    <w:rsid w:val="00CD344F"/>
    <w:rsid w:val="00CE01F6"/>
    <w:rsid w:val="00CE04E7"/>
    <w:rsid w:val="00CF384C"/>
    <w:rsid w:val="00D179DF"/>
    <w:rsid w:val="00D3200B"/>
    <w:rsid w:val="00D33AD0"/>
    <w:rsid w:val="00D50F38"/>
    <w:rsid w:val="00D65806"/>
    <w:rsid w:val="00D91AC4"/>
    <w:rsid w:val="00DA5F0B"/>
    <w:rsid w:val="00E03022"/>
    <w:rsid w:val="00E17256"/>
    <w:rsid w:val="00E20E56"/>
    <w:rsid w:val="00E417D0"/>
    <w:rsid w:val="00E54530"/>
    <w:rsid w:val="00E60FE3"/>
    <w:rsid w:val="00E7636B"/>
    <w:rsid w:val="00E918EE"/>
    <w:rsid w:val="00EA7FBC"/>
    <w:rsid w:val="00EB2819"/>
    <w:rsid w:val="00EB355B"/>
    <w:rsid w:val="00EB4367"/>
    <w:rsid w:val="00EC1164"/>
    <w:rsid w:val="00EC1C8C"/>
    <w:rsid w:val="00EC20AE"/>
    <w:rsid w:val="00EC4572"/>
    <w:rsid w:val="00EC7E25"/>
    <w:rsid w:val="00ED02BE"/>
    <w:rsid w:val="00ED540F"/>
    <w:rsid w:val="00EE483C"/>
    <w:rsid w:val="00EF1E9F"/>
    <w:rsid w:val="00EF3B66"/>
    <w:rsid w:val="00F02E01"/>
    <w:rsid w:val="00F12096"/>
    <w:rsid w:val="00F15F4A"/>
    <w:rsid w:val="00F56E88"/>
    <w:rsid w:val="00F6286B"/>
    <w:rsid w:val="00F660BD"/>
    <w:rsid w:val="00F80A98"/>
    <w:rsid w:val="00FB0B26"/>
    <w:rsid w:val="00FB2B4E"/>
    <w:rsid w:val="00FB5470"/>
    <w:rsid w:val="00FB54B7"/>
    <w:rsid w:val="00FC6132"/>
    <w:rsid w:val="00FD5A4F"/>
    <w:rsid w:val="00FF6D04"/>
    <w:rsid w:val="0855058A"/>
    <w:rsid w:val="0D963232"/>
    <w:rsid w:val="0E3176E6"/>
    <w:rsid w:val="0ED43FAD"/>
    <w:rsid w:val="24CF5440"/>
    <w:rsid w:val="254F1D14"/>
    <w:rsid w:val="263B71BF"/>
    <w:rsid w:val="2A574CBB"/>
    <w:rsid w:val="30110809"/>
    <w:rsid w:val="31BD40C5"/>
    <w:rsid w:val="351D4352"/>
    <w:rsid w:val="3DE75F30"/>
    <w:rsid w:val="4BE83164"/>
    <w:rsid w:val="50E61EC7"/>
    <w:rsid w:val="61A54544"/>
    <w:rsid w:val="65FB49E1"/>
    <w:rsid w:val="6ED92188"/>
    <w:rsid w:val="71CB5E83"/>
    <w:rsid w:val="728F3D2C"/>
    <w:rsid w:val="74394FB6"/>
    <w:rsid w:val="7BE01E7B"/>
    <w:rsid w:val="7DC714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3"/>
    <w:basedOn w:val="1"/>
    <w:next w:val="1"/>
    <w:qFormat/>
    <w:uiPriority w:val="0"/>
    <w:pPr>
      <w:keepNext/>
      <w:outlineLvl w:val="2"/>
    </w:pPr>
    <w:rPr>
      <w:rFonts w:ascii="楷体_GB2312" w:hAnsi="宋体" w:eastAsia="黑体"/>
      <w:b/>
      <w:bCs/>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Plain Text"/>
    <w:basedOn w:val="1"/>
    <w:next w:val="1"/>
    <w:qFormat/>
    <w:uiPriority w:val="0"/>
    <w:pPr>
      <w:autoSpaceDE w:val="0"/>
      <w:autoSpaceDN w:val="0"/>
      <w:adjustRightInd w:val="0"/>
      <w:jc w:val="left"/>
    </w:pPr>
    <w:rPr>
      <w:rFonts w:ascii="宋体" w:hAnsi="Courier New"/>
      <w:kern w:val="0"/>
      <w:sz w:val="20"/>
      <w:szCs w:val="20"/>
    </w:rPr>
  </w:style>
  <w:style w:type="paragraph" w:styleId="6">
    <w:name w:val="Balloon Text"/>
    <w:basedOn w:val="1"/>
    <w:link w:val="19"/>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23"/>
    <w:semiHidden/>
    <w:unhideWhenUsed/>
    <w:qFormat/>
    <w:uiPriority w:val="99"/>
    <w:rPr>
      <w:b/>
      <w:bCs/>
    </w:r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FollowedHyperlink"/>
    <w:basedOn w:val="12"/>
    <w:semiHidden/>
    <w:unhideWhenUsed/>
    <w:qFormat/>
    <w:uiPriority w:val="99"/>
    <w:rPr>
      <w:color w:val="954F72" w:themeColor="followedHyperlink"/>
      <w:u w:val="single"/>
      <w14:textFill>
        <w14:solidFill>
          <w14:schemeClr w14:val="folHlink"/>
        </w14:solidFill>
      </w14:textFill>
    </w:rPr>
  </w:style>
  <w:style w:type="character" w:styleId="15">
    <w:name w:val="Hyperlink"/>
    <w:basedOn w:val="12"/>
    <w:unhideWhenUsed/>
    <w:qFormat/>
    <w:uiPriority w:val="99"/>
    <w:rPr>
      <w:color w:val="0563C1" w:themeColor="hyperlink"/>
      <w:u w:val="single"/>
      <w14:textFill>
        <w14:solidFill>
          <w14:schemeClr w14:val="hlink"/>
        </w14:solidFill>
      </w14:textFill>
    </w:rPr>
  </w:style>
  <w:style w:type="character" w:styleId="16">
    <w:name w:val="annotation reference"/>
    <w:basedOn w:val="12"/>
    <w:semiHidden/>
    <w:unhideWhenUsed/>
    <w:qFormat/>
    <w:uiPriority w:val="99"/>
    <w:rPr>
      <w:sz w:val="21"/>
      <w:szCs w:val="21"/>
    </w:rPr>
  </w:style>
  <w:style w:type="character" w:customStyle="1" w:styleId="17">
    <w:name w:val="页眉 字符"/>
    <w:basedOn w:val="12"/>
    <w:link w:val="8"/>
    <w:qFormat/>
    <w:uiPriority w:val="99"/>
    <w:rPr>
      <w:sz w:val="18"/>
      <w:szCs w:val="18"/>
    </w:rPr>
  </w:style>
  <w:style w:type="character" w:customStyle="1" w:styleId="18">
    <w:name w:val="页脚 字符"/>
    <w:basedOn w:val="12"/>
    <w:link w:val="7"/>
    <w:qFormat/>
    <w:uiPriority w:val="99"/>
    <w:rPr>
      <w:sz w:val="18"/>
      <w:szCs w:val="18"/>
    </w:rPr>
  </w:style>
  <w:style w:type="character" w:customStyle="1" w:styleId="19">
    <w:name w:val="批注框文本 字符"/>
    <w:basedOn w:val="12"/>
    <w:link w:val="6"/>
    <w:semiHidden/>
    <w:qFormat/>
    <w:uiPriority w:val="99"/>
    <w:rPr>
      <w:sz w:val="18"/>
      <w:szCs w:val="18"/>
    </w:rPr>
  </w:style>
  <w:style w:type="paragraph" w:styleId="20">
    <w:name w:val="List Paragraph"/>
    <w:basedOn w:val="1"/>
    <w:qFormat/>
    <w:uiPriority w:val="34"/>
    <w:pPr>
      <w:ind w:firstLine="420" w:firstLineChars="200"/>
    </w:pPr>
    <w:rPr>
      <w:rFonts w:eastAsia="黑体"/>
      <w:bCs/>
      <w:sz w:val="30"/>
      <w:szCs w:val="30"/>
    </w:rPr>
  </w:style>
  <w:style w:type="paragraph" w:customStyle="1" w:styleId="21">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22">
    <w:name w:val="批注文字 字符"/>
    <w:basedOn w:val="12"/>
    <w:link w:val="4"/>
    <w:qFormat/>
    <w:uiPriority w:val="99"/>
    <w:rPr>
      <w:rFonts w:asciiTheme="minorHAnsi" w:hAnsiTheme="minorHAnsi" w:eastAsiaTheme="minorEastAsia" w:cstheme="minorBidi"/>
      <w:kern w:val="2"/>
      <w:sz w:val="21"/>
      <w:szCs w:val="24"/>
    </w:rPr>
  </w:style>
  <w:style w:type="character" w:customStyle="1" w:styleId="23">
    <w:name w:val="批注主题 字符"/>
    <w:basedOn w:val="22"/>
    <w:link w:val="9"/>
    <w:semiHidden/>
    <w:qFormat/>
    <w:uiPriority w:val="99"/>
    <w:rPr>
      <w:rFonts w:asciiTheme="minorHAnsi" w:hAnsiTheme="minorHAnsi" w:eastAsiaTheme="minorEastAsia" w:cstheme="minorBidi"/>
      <w:b/>
      <w:bCs/>
      <w:kern w:val="2"/>
      <w:sz w:val="21"/>
      <w:szCs w:val="24"/>
    </w:rPr>
  </w:style>
  <w:style w:type="character" w:customStyle="1" w:styleId="24">
    <w:name w:val="标题 1 字符"/>
    <w:basedOn w:val="12"/>
    <w:link w:val="2"/>
    <w:qFormat/>
    <w:uiPriority w:val="9"/>
    <w:rPr>
      <w:rFonts w:asciiTheme="minorHAnsi" w:hAnsiTheme="minorHAnsi" w:eastAsiaTheme="minorEastAsia" w:cstheme="minorBidi"/>
      <w:b/>
      <w:bCs/>
      <w:kern w:val="44"/>
      <w:sz w:val="44"/>
      <w:szCs w:val="44"/>
    </w:rPr>
  </w:style>
  <w:style w:type="character" w:customStyle="1" w:styleId="25">
    <w:name w:val="未处理的提及1"/>
    <w:basedOn w:val="12"/>
    <w:semiHidden/>
    <w:unhideWhenUsed/>
    <w:qFormat/>
    <w:uiPriority w:val="99"/>
    <w:rPr>
      <w:color w:val="605E5C"/>
      <w:shd w:val="clear" w:color="auto" w:fill="E1DFDD"/>
    </w:rPr>
  </w:style>
  <w:style w:type="paragraph" w:customStyle="1" w:styleId="26">
    <w:name w:val="Normal (Web)"/>
    <w:basedOn w:val="1"/>
    <w:qFormat/>
    <w:uiPriority w:val="0"/>
    <w:pPr>
      <w:spacing w:before="0" w:beforeLines="0" w:beforeAutospacing="0" w:after="0" w:afterLines="0" w:afterAutospacing="0"/>
      <w:ind w:left="0" w:right="0"/>
      <w:jc w:val="left"/>
    </w:pPr>
    <w:rPr>
      <w:kern w:val="0"/>
      <w:sz w:val="24"/>
      <w:lang w:val="en-US" w:eastAsia="zh-CN"/>
    </w:rPr>
  </w:style>
  <w:style w:type="paragraph" w:customStyle="1" w:styleId="27">
    <w:name w:val="正文 New"/>
    <w:qFormat/>
    <w:uiPriority w:val="0"/>
    <w:pPr>
      <w:widowControl w:val="0"/>
      <w:jc w:val="both"/>
    </w:pPr>
    <w:rPr>
      <w:rFonts w:ascii="Calibri" w:hAnsi="Calibri" w:eastAsia="宋体" w:cs="Times New Roman"/>
      <w:kern w:val="2"/>
      <w:sz w:val="21"/>
      <w:lang w:val="en-US" w:eastAsia="zh-CN" w:bidi="ar-SA"/>
    </w:rPr>
  </w:style>
  <w:style w:type="paragraph" w:customStyle="1" w:styleId="28">
    <w:name w:val="Body Text First Indent 2"/>
    <w:basedOn w:val="29"/>
    <w:qFormat/>
    <w:uiPriority w:val="0"/>
    <w:pPr>
      <w:spacing w:line="360" w:lineRule="auto"/>
      <w:ind w:firstLine="420" w:firstLineChars="200"/>
    </w:pPr>
    <w:rPr>
      <w:rFonts w:hint="default" w:ascii="Times New Roman" w:hAnsi="Times New Roman"/>
      <w:sz w:val="24"/>
    </w:rPr>
  </w:style>
  <w:style w:type="paragraph" w:customStyle="1" w:styleId="29">
    <w:name w:val="Body Text Indent"/>
    <w:basedOn w:val="1"/>
    <w:qFormat/>
    <w:uiPriority w:val="0"/>
    <w:pPr>
      <w:spacing w:after="120" w:afterLines="0"/>
      <w:ind w:left="420" w:leftChars="200"/>
    </w:pPr>
    <w:rPr>
      <w:rFonts w:cs="Times New Roman"/>
    </w:rPr>
  </w:style>
  <w:style w:type="paragraph" w:customStyle="1" w:styleId="30">
    <w:name w:val="Normal Indent"/>
    <w:basedOn w:val="1"/>
    <w:qFormat/>
    <w:uiPriority w:val="0"/>
    <w:pPr>
      <w:spacing w:line="360" w:lineRule="auto"/>
      <w:ind w:firstLine="200" w:firstLineChars="200"/>
    </w:pPr>
    <w:rPr>
      <w:rFonts w:cs="Times New Roman"/>
      <w:sz w:val="24"/>
    </w:rPr>
  </w:style>
  <w:style w:type="paragraph" w:customStyle="1" w:styleId="31">
    <w:name w:val="正文 New New"/>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0"/>
      <w:lang w:val="en-US" w:eastAsia="zh-CN" w:bidi="ar"/>
    </w:rPr>
  </w:style>
  <w:style w:type="character" w:customStyle="1" w:styleId="32">
    <w:name w:val="font11"/>
    <w:basedOn w:val="12"/>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9EBCEA-0D0D-41EF-AF1A-160C019084B7}">
  <ds:schemaRefs/>
</ds:datastoreItem>
</file>

<file path=docProps/app.xml><?xml version="1.0" encoding="utf-8"?>
<Properties xmlns="http://schemas.openxmlformats.org/officeDocument/2006/extended-properties" xmlns:vt="http://schemas.openxmlformats.org/officeDocument/2006/docPropsVTypes">
  <Template>Normal.dotm</Template>
  <Company>SMET</Company>
  <Pages>23</Pages>
  <Words>12896</Words>
  <Characters>13628</Characters>
  <Lines>17</Lines>
  <Paragraphs>4</Paragraphs>
  <TotalTime>0</TotalTime>
  <ScaleCrop>false</ScaleCrop>
  <LinksUpToDate>false</LinksUpToDate>
  <CharactersWithSpaces>14316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2021-08-05T08:55:00Z</dcterms:created>
  <dc:creator>River</dc:creator>
  <cp:lastModifiedBy>星晨Mandy(^_^)</cp:lastModifiedBy>
  <cp:lastPrinted>2021-08-04T06:09:00Z</cp:lastPrinted>
  <dcterms:modified xsi:type="dcterms:W3CDTF">2024-07-24T09:24:51Z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5D620A7EAE24444A845179D152396E01_13</vt:lpwstr>
  </property>
</Properties>
</file>